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53939" w14:textId="77777777" w:rsidR="00C509B2" w:rsidRPr="00EC4297" w:rsidRDefault="00C509B2" w:rsidP="00EC429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5330FF2C" w14:textId="77777777" w:rsidR="007E3857" w:rsidRPr="00EC4297" w:rsidRDefault="007E3857" w:rsidP="00EC4297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19BA0F0E" w14:textId="77777777" w:rsidR="007E3857" w:rsidRPr="00EC4297" w:rsidRDefault="007E3857" w:rsidP="00EC4297">
      <w:pPr>
        <w:spacing w:after="0" w:line="276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8"/>
        <w:gridCol w:w="4820"/>
      </w:tblGrid>
      <w:tr w:rsidR="0067588A" w:rsidRPr="007C02D9" w14:paraId="504BB4F5" w14:textId="77777777" w:rsidTr="0067588A">
        <w:tc>
          <w:tcPr>
            <w:tcW w:w="4818" w:type="dxa"/>
          </w:tcPr>
          <w:p w14:paraId="345F5118" w14:textId="6BFD0238" w:rsidR="00EC4297" w:rsidRPr="007C02D9" w:rsidRDefault="002A3995" w:rsidP="00FC25B0">
            <w:pPr>
              <w:spacing w:after="0" w:line="276" w:lineRule="auto"/>
              <w:jc w:val="both"/>
              <w:rPr>
                <w:rFonts w:cstheme="minorHAnsi"/>
                <w:kern w:val="2"/>
                <w:sz w:val="20"/>
                <w:szCs w:val="20"/>
                <w:lang w:eastAsia="zh-CN" w:bidi="hi-IN"/>
              </w:rPr>
            </w:pPr>
            <w:r w:rsidRPr="007C02D9">
              <w:rPr>
                <w:rFonts w:eastAsia="Tahoma" w:cstheme="minorHAnsi"/>
                <w:sz w:val="20"/>
                <w:szCs w:val="20"/>
              </w:rPr>
              <w:t>DZP/</w:t>
            </w:r>
            <w:r w:rsidR="006A6794">
              <w:rPr>
                <w:rFonts w:eastAsia="Tahoma" w:cstheme="minorHAnsi"/>
                <w:sz w:val="20"/>
                <w:szCs w:val="20"/>
              </w:rPr>
              <w:t>TP</w:t>
            </w:r>
            <w:r w:rsidR="00DF1875" w:rsidRPr="007C02D9">
              <w:rPr>
                <w:rFonts w:eastAsia="Tahoma" w:cstheme="minorHAnsi"/>
                <w:sz w:val="20"/>
                <w:szCs w:val="20"/>
              </w:rPr>
              <w:t>/</w:t>
            </w:r>
            <w:r w:rsidR="003E61E9">
              <w:rPr>
                <w:rFonts w:eastAsia="Tahoma" w:cstheme="minorHAnsi"/>
                <w:sz w:val="20"/>
                <w:szCs w:val="20"/>
              </w:rPr>
              <w:t>1</w:t>
            </w:r>
            <w:r w:rsidR="006A6794">
              <w:rPr>
                <w:rFonts w:eastAsia="Tahoma" w:cstheme="minorHAnsi"/>
                <w:sz w:val="20"/>
                <w:szCs w:val="20"/>
              </w:rPr>
              <w:t>0</w:t>
            </w:r>
            <w:r w:rsidR="003E61E9">
              <w:rPr>
                <w:rFonts w:eastAsia="Tahoma" w:cstheme="minorHAnsi"/>
                <w:sz w:val="20"/>
                <w:szCs w:val="20"/>
              </w:rPr>
              <w:t>/202</w:t>
            </w:r>
            <w:r w:rsidR="006A6794">
              <w:rPr>
                <w:rFonts w:eastAsia="Tahoma" w:cstheme="minorHAnsi"/>
                <w:sz w:val="20"/>
                <w:szCs w:val="20"/>
              </w:rPr>
              <w:t>4</w:t>
            </w:r>
          </w:p>
          <w:p w14:paraId="4D1F6C8C" w14:textId="3D8F0FD6" w:rsidR="009B3C04" w:rsidRPr="007C02D9" w:rsidRDefault="009B3C04" w:rsidP="00EC4297">
            <w:pPr>
              <w:widowControl w:val="0"/>
              <w:suppressAutoHyphens/>
              <w:autoSpaceDN w:val="0"/>
              <w:snapToGrid w:val="0"/>
              <w:spacing w:after="0" w:line="276" w:lineRule="auto"/>
              <w:rPr>
                <w:rFonts w:cstheme="minorHAnsi"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4820" w:type="dxa"/>
            <w:hideMark/>
          </w:tcPr>
          <w:p w14:paraId="4994108C" w14:textId="376068A9" w:rsidR="0067588A" w:rsidRPr="007C02D9" w:rsidRDefault="002679DA" w:rsidP="003E61E9">
            <w:pPr>
              <w:widowControl w:val="0"/>
              <w:suppressAutoHyphens/>
              <w:autoSpaceDN w:val="0"/>
              <w:snapToGrid w:val="0"/>
              <w:spacing w:after="0" w:line="276" w:lineRule="auto"/>
              <w:ind w:right="566"/>
              <w:jc w:val="right"/>
              <w:rPr>
                <w:rFonts w:cstheme="minorHAnsi"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cstheme="minorHAnsi"/>
                <w:sz w:val="20"/>
                <w:szCs w:val="20"/>
              </w:rPr>
              <w:t xml:space="preserve">      </w:t>
            </w:r>
            <w:r w:rsidR="000C2957">
              <w:rPr>
                <w:rFonts w:cstheme="minorHAnsi"/>
                <w:sz w:val="20"/>
                <w:szCs w:val="20"/>
              </w:rPr>
              <w:t xml:space="preserve">   </w:t>
            </w:r>
            <w:r w:rsidR="0067588A" w:rsidRPr="003E61E9">
              <w:rPr>
                <w:rFonts w:cstheme="minorHAnsi"/>
                <w:sz w:val="20"/>
                <w:szCs w:val="20"/>
              </w:rPr>
              <w:t>Zawiercie,</w:t>
            </w:r>
            <w:r w:rsidR="00B205E2" w:rsidRPr="003E61E9">
              <w:rPr>
                <w:rFonts w:cstheme="minorHAnsi"/>
                <w:sz w:val="20"/>
                <w:szCs w:val="20"/>
              </w:rPr>
              <w:t xml:space="preserve"> </w:t>
            </w:r>
            <w:r w:rsidR="006A6794">
              <w:rPr>
                <w:rFonts w:cstheme="minorHAnsi"/>
                <w:sz w:val="20"/>
                <w:szCs w:val="20"/>
              </w:rPr>
              <w:t>16</w:t>
            </w:r>
            <w:r w:rsidR="003E61E9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>01</w:t>
            </w:r>
            <w:r w:rsidR="003E61E9">
              <w:rPr>
                <w:rFonts w:cstheme="minorHAnsi"/>
                <w:sz w:val="20"/>
                <w:szCs w:val="20"/>
              </w:rPr>
              <w:t>.202</w:t>
            </w:r>
            <w:r>
              <w:rPr>
                <w:rFonts w:cstheme="minorHAnsi"/>
                <w:sz w:val="20"/>
                <w:szCs w:val="20"/>
              </w:rPr>
              <w:t>4</w:t>
            </w:r>
            <w:r w:rsidR="003E61E9">
              <w:rPr>
                <w:rFonts w:cstheme="minorHAnsi"/>
                <w:sz w:val="20"/>
                <w:szCs w:val="20"/>
              </w:rPr>
              <w:t>r</w:t>
            </w:r>
          </w:p>
        </w:tc>
      </w:tr>
    </w:tbl>
    <w:p w14:paraId="0369FCA4" w14:textId="77777777" w:rsidR="004D23FA" w:rsidRPr="007C02D9" w:rsidRDefault="00B94AEB" w:rsidP="00EC4297">
      <w:pPr>
        <w:spacing w:after="0" w:line="276" w:lineRule="auto"/>
        <w:jc w:val="center"/>
        <w:rPr>
          <w:rFonts w:cstheme="minorHAnsi"/>
          <w:b/>
          <w:bCs/>
          <w:color w:val="000000"/>
          <w:sz w:val="20"/>
          <w:szCs w:val="20"/>
          <w:lang w:eastAsia="pl-PL"/>
        </w:rPr>
      </w:pPr>
      <w:r w:rsidRPr="007C02D9">
        <w:rPr>
          <w:rFonts w:cstheme="minorHAnsi"/>
          <w:b/>
          <w:bCs/>
          <w:color w:val="000000"/>
          <w:sz w:val="20"/>
          <w:szCs w:val="20"/>
          <w:lang w:eastAsia="pl-PL"/>
        </w:rPr>
        <w:t>D</w:t>
      </w:r>
      <w:r w:rsidR="004D23FA" w:rsidRPr="007C02D9">
        <w:rPr>
          <w:rFonts w:cstheme="minorHAnsi"/>
          <w:b/>
          <w:bCs/>
          <w:color w:val="000000"/>
          <w:sz w:val="20"/>
          <w:szCs w:val="20"/>
          <w:lang w:eastAsia="pl-PL"/>
        </w:rPr>
        <w:t>O WSZYSTKICH WYKONAWCÓW</w:t>
      </w:r>
    </w:p>
    <w:p w14:paraId="224AE569" w14:textId="77777777" w:rsidR="009B3C04" w:rsidRPr="007C02D9" w:rsidRDefault="009B3C04" w:rsidP="00EC4297">
      <w:pPr>
        <w:spacing w:after="0" w:line="276" w:lineRule="auto"/>
        <w:rPr>
          <w:rFonts w:cstheme="minorHAnsi"/>
          <w:b/>
          <w:bCs/>
          <w:color w:val="000000"/>
          <w:sz w:val="20"/>
          <w:szCs w:val="20"/>
          <w:lang w:eastAsia="pl-PL"/>
        </w:rPr>
      </w:pPr>
    </w:p>
    <w:p w14:paraId="739058E7" w14:textId="3E46F6D6" w:rsidR="00734BD7" w:rsidRPr="007C02D9" w:rsidRDefault="00321083" w:rsidP="009614E6">
      <w:pPr>
        <w:spacing w:after="0" w:line="276" w:lineRule="auto"/>
        <w:jc w:val="both"/>
        <w:rPr>
          <w:rFonts w:eastAsia="Calibri" w:cstheme="minorHAnsi"/>
          <w:bCs/>
          <w:noProof/>
          <w:sz w:val="20"/>
          <w:szCs w:val="20"/>
        </w:rPr>
      </w:pPr>
      <w:r w:rsidRPr="007C02D9">
        <w:rPr>
          <w:rFonts w:cstheme="minorHAnsi"/>
          <w:bCs/>
          <w:color w:val="000000"/>
          <w:sz w:val="20"/>
          <w:szCs w:val="20"/>
          <w:lang w:eastAsia="pl-PL"/>
        </w:rPr>
        <w:t>dotyczy:</w:t>
      </w:r>
      <w:r w:rsidR="004D23FA" w:rsidRPr="007C02D9">
        <w:rPr>
          <w:rFonts w:cstheme="minorHAnsi"/>
          <w:bCs/>
          <w:color w:val="000000"/>
          <w:sz w:val="20"/>
          <w:szCs w:val="20"/>
          <w:lang w:eastAsia="pl-PL"/>
        </w:rPr>
        <w:t xml:space="preserve"> </w:t>
      </w:r>
      <w:r w:rsidR="00C51E03" w:rsidRPr="007C02D9">
        <w:rPr>
          <w:rFonts w:cstheme="minorHAnsi"/>
          <w:bCs/>
          <w:color w:val="000000"/>
          <w:sz w:val="20"/>
          <w:szCs w:val="20"/>
          <w:lang w:eastAsia="pl-PL"/>
        </w:rPr>
        <w:t xml:space="preserve">Dostawa </w:t>
      </w:r>
      <w:r w:rsidR="002679DA">
        <w:rPr>
          <w:rFonts w:cstheme="minorHAnsi"/>
          <w:bCs/>
          <w:color w:val="000000"/>
          <w:sz w:val="20"/>
          <w:szCs w:val="20"/>
          <w:lang w:eastAsia="pl-PL"/>
        </w:rPr>
        <w:t xml:space="preserve"> </w:t>
      </w:r>
      <w:r w:rsidR="006A6794">
        <w:rPr>
          <w:rFonts w:cstheme="minorHAnsi"/>
          <w:bCs/>
          <w:color w:val="000000"/>
          <w:sz w:val="20"/>
          <w:szCs w:val="20"/>
          <w:lang w:eastAsia="pl-PL"/>
        </w:rPr>
        <w:t>mebli medycznych</w:t>
      </w:r>
    </w:p>
    <w:p w14:paraId="03AF996C" w14:textId="77777777" w:rsidR="00346B57" w:rsidRPr="007C02D9" w:rsidRDefault="00346B57" w:rsidP="009614E6">
      <w:pPr>
        <w:spacing w:after="0" w:line="276" w:lineRule="auto"/>
        <w:jc w:val="both"/>
        <w:rPr>
          <w:rFonts w:cstheme="minorHAnsi"/>
          <w:color w:val="000000"/>
          <w:sz w:val="20"/>
          <w:szCs w:val="20"/>
          <w:lang w:eastAsia="pl-PL"/>
        </w:rPr>
      </w:pPr>
    </w:p>
    <w:p w14:paraId="6CC46145" w14:textId="77777777" w:rsidR="004D23FA" w:rsidRPr="007C02D9" w:rsidRDefault="004D23FA" w:rsidP="009614E6">
      <w:pPr>
        <w:pStyle w:val="Akapitzlist"/>
        <w:spacing w:line="276" w:lineRule="auto"/>
        <w:ind w:left="0"/>
        <w:jc w:val="both"/>
        <w:rPr>
          <w:rFonts w:asciiTheme="minorHAnsi" w:hAnsiTheme="minorHAnsi" w:cstheme="minorHAnsi"/>
          <w:b/>
          <w:color w:val="000000"/>
          <w:sz w:val="20"/>
          <w:szCs w:val="20"/>
          <w:lang w:val="pl-PL"/>
        </w:rPr>
      </w:pPr>
      <w:r w:rsidRPr="007C02D9">
        <w:rPr>
          <w:rFonts w:asciiTheme="minorHAnsi" w:hAnsiTheme="minorHAnsi" w:cstheme="minorHAnsi"/>
          <w:color w:val="000000"/>
          <w:sz w:val="20"/>
          <w:szCs w:val="20"/>
          <w:lang w:val="pl-PL"/>
        </w:rPr>
        <w:t>Zamawiający Szpital Powiatowy w Z</w:t>
      </w:r>
      <w:r w:rsidR="00FA63FB" w:rsidRPr="007C02D9">
        <w:rPr>
          <w:rFonts w:asciiTheme="minorHAnsi" w:hAnsiTheme="minorHAnsi" w:cstheme="minorHAnsi"/>
          <w:color w:val="000000"/>
          <w:sz w:val="20"/>
          <w:szCs w:val="20"/>
          <w:lang w:val="pl-PL"/>
        </w:rPr>
        <w:t>awierciu odpowiadając na pytania</w:t>
      </w:r>
      <w:r w:rsidR="00D9390C" w:rsidRPr="007C02D9">
        <w:rPr>
          <w:rFonts w:asciiTheme="minorHAnsi" w:hAnsiTheme="minorHAnsi" w:cstheme="minorHAnsi"/>
          <w:color w:val="000000"/>
          <w:sz w:val="20"/>
          <w:szCs w:val="20"/>
          <w:lang w:val="pl-PL"/>
        </w:rPr>
        <w:t xml:space="preserve"> (pisownia oryginalna)</w:t>
      </w:r>
      <w:r w:rsidRPr="007C02D9">
        <w:rPr>
          <w:rFonts w:asciiTheme="minorHAnsi" w:hAnsiTheme="minorHAnsi" w:cstheme="minorHAnsi"/>
          <w:color w:val="000000"/>
          <w:sz w:val="20"/>
          <w:szCs w:val="20"/>
          <w:lang w:val="pl-PL"/>
        </w:rPr>
        <w:t xml:space="preserve"> informuje:</w:t>
      </w:r>
    </w:p>
    <w:p w14:paraId="15B93427" w14:textId="77777777" w:rsidR="00656E62" w:rsidRPr="007C02D9" w:rsidRDefault="00656E62" w:rsidP="009614E6">
      <w:pPr>
        <w:spacing w:after="0" w:line="360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</w:p>
    <w:p w14:paraId="1DED1B06" w14:textId="77777777" w:rsidR="00FA6635" w:rsidRPr="007C02D9" w:rsidRDefault="004A1970" w:rsidP="00FA6635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sz w:val="20"/>
          <w:szCs w:val="20"/>
          <w:lang w:eastAsia="pl-PL"/>
        </w:rPr>
        <w:t>Pytanie nr 1</w:t>
      </w:r>
    </w:p>
    <w:p w14:paraId="69719853" w14:textId="77777777" w:rsidR="006A6794" w:rsidRPr="006A6794" w:rsidRDefault="006A6794" w:rsidP="006A6794">
      <w:pPr>
        <w:spacing w:after="0"/>
        <w:jc w:val="both"/>
        <w:rPr>
          <w:rFonts w:asciiTheme="majorHAnsi" w:eastAsia="Calibri" w:hAnsiTheme="majorHAnsi" w:cstheme="majorHAnsi"/>
          <w:b/>
          <w:bCs/>
          <w:kern w:val="2"/>
          <w:sz w:val="20"/>
          <w:szCs w:val="20"/>
          <w14:ligatures w14:val="standardContextual"/>
        </w:rPr>
      </w:pPr>
      <w:r w:rsidRPr="006A6794">
        <w:rPr>
          <w:rFonts w:asciiTheme="majorHAnsi" w:eastAsia="Calibri" w:hAnsiTheme="majorHAnsi" w:cstheme="majorHAnsi"/>
          <w:b/>
          <w:bCs/>
          <w:kern w:val="2"/>
          <w:sz w:val="20"/>
          <w:szCs w:val="20"/>
          <w14:ligatures w14:val="standardContextual"/>
        </w:rPr>
        <w:t>Pozycja 1: Łóżko szpitalne – 20szt</w:t>
      </w:r>
    </w:p>
    <w:p w14:paraId="735A40C1" w14:textId="4BC1EB6D" w:rsidR="006A6794" w:rsidRDefault="006A6794" w:rsidP="006A6794">
      <w:pPr>
        <w:spacing w:after="0"/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6A6794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Czy Zamawiający dopuści łóżko o parametrach lepszych opisany poniżej, nie odbiegający funkcjonalnością od opisanego w celu poszerzenia oferty?</w:t>
      </w:r>
    </w:p>
    <w:p w14:paraId="2760AA24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Łóżko szpitalne o wymiarach leża 200cm x 90 cm wraz z funkcją przedłużania leża 150 mm i czterema otworami we wszystkich narożnikach łózka do montażu wyposażenia dodatkowego.</w:t>
      </w:r>
    </w:p>
    <w:p w14:paraId="426BFA06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Funkcja przedłużenia leża realizowana za pomocą mechanizmów samozatrzaskowych.</w:t>
      </w:r>
    </w:p>
    <w:p w14:paraId="436394F1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Długość podstawy łóżka 160 cm  szerokość podstawy łóżka 80 cm dla zapewnienia maksymalnej stabilności leża w każdym jego położeniu. Łóżko z elektrycznymi regulacjami : wysokości , segmentu pleców , segmentu uda, przechyłów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i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antyTrendelenburga</w:t>
      </w:r>
      <w:proofErr w:type="spellEnd"/>
    </w:p>
    <w:p w14:paraId="5E55B671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Zasilanie 230 V, 50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Hz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z sygnalizacją włączenia do sieci w celu uniknięcia nieświadomego wyrwania kabla z gniazdka i uszkodzenia łóżka lub gniazdka. Kabel zasilający w przewodzie skręcanym rozciągliwym.</w:t>
      </w:r>
    </w:p>
    <w:p w14:paraId="1945058A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Wbudowany akumulator do zasilania podczas transportu lub w sytuacjach zaniku prądu. Diodowy wskaźnik stanu naładowania akumulatora w panelu sterowania dla personelu. Diodowy wskaźnik informujący dodatkowo o konieczności wymiany baterii. Alarm dźwiękowy informujący o każdorazowym uruchomieniu regulacji elektrycznej przy korzystaniu z zasilania akumulatorowego.</w:t>
      </w:r>
    </w:p>
    <w:p w14:paraId="07F2359C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Funkcja CPR segmentu pleców pozwalająca na natychmiastową reakcję w sytuacjach zagrożenia życia pacjenta.</w:t>
      </w:r>
    </w:p>
    <w:p w14:paraId="71FF572B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Funkcja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autokonturu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jednoczesnej regulacji segmentu pleców i segmentu uda</w:t>
      </w:r>
    </w:p>
    <w:p w14:paraId="6BC000FB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Regulacja elektryczna wysokości leża, w zakresie 370 mm do 735 mm, gwarantująca bezpieczne opuszczanie łóżka i zapobiegająca „zeskakiwaniu z łóżka” /nie dotykaniu pełnymi stopami podłogi podczas opuszczania łóżka/.</w:t>
      </w:r>
    </w:p>
    <w:p w14:paraId="3FF2A0D5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Regulacja elektryczna pleców 70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 oraz regulacja elektryczna uda 35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</w:p>
    <w:p w14:paraId="5A10EAC3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Regulacja elektryczna pozycji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i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antyTrendelnburga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15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</w:p>
    <w:p w14:paraId="560B1D72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Leże łóżka  4 – sekcyjne, w tym 3 ruchome. Leże wypełnienie panelami tworzywowymi. Po kilka paneli w segmencie pleców i podudzia. Panele gładkie, łatwo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demontowalne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, lekkie (maksymalna waga pojedynczego panelu poniżej 1kg) nadające się do dezynfekcji. Panele zabezpieczone przed przesuwaniem się i wypadnięciem poprzez system zatrzaskowy.</w:t>
      </w:r>
    </w:p>
    <w:p w14:paraId="037579C1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Funkcja autoregresji segmentu pleców oraz uda, niwelująca ryzyko powstawania odleżyn dzięki minimalizacji nacisku w odcinku krzyżowo-lędźwiowym a tym samym pełniąca funkcje profilaktyczną  przeciwko odleżynom stopnia 1-4. W segmencie pleców: 10 cm, w segmencie uda: 6 cm.</w:t>
      </w:r>
    </w:p>
    <w:p w14:paraId="4CCCA4B3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Funkcja zaawansowanej autoregresji, system teleskopowego odsuwania się segmentu pleców oraz uda nie tylko do tyłu, ale i do góry (ruch po okręgu) podczas podnoszenia segmentów, w celu eliminacji sił tarcia będącymi potencjalnym zagrożeniem powstawania odleżyn stopnia 1:4.</w:t>
      </w:r>
    </w:p>
    <w:p w14:paraId="5394396C" w14:textId="77777777" w:rsid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57ACD8FB" w14:textId="77777777" w:rsid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14124CAA" w14:textId="77777777" w:rsid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61D73AB8" w14:textId="1D0CEDFA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Szczyty łóżka tworzywowe z jednolitego odlewu bez miejsc klejenia/skręcania, wyjmowane od strony nóg i głowy z możliwością zablokowania szczytu przed wyjęciem na czas transportu łóżka w celu uniknięcia wypadnięcia szczytu i stracenia kontroli nad łóżkiem. Blokady szczytów z graficzną, kolorystyczną informacją: zablokowane/odblokowane.</w:t>
      </w:r>
    </w:p>
    <w:p w14:paraId="18F4A0ED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Koła tworzywowe o średnicy 125mm. Centralna oraz kierunkowa blokada kół uruchamiana za pomocą jednej z dwóch dźwigni zlokalizowanych bezpośrednio przy kołach od strony nóg, po obu stronach łóżka.</w:t>
      </w:r>
    </w:p>
    <w:p w14:paraId="7BCE7624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Bezpieczne obciążenie robocze dla każdej pozycji leża i segmentów na poziomie 250kg. Pozwalające na wszystkie możliwe regulacje przy tym obciążeniu bez narażenia bezpieczeństwa pacjenta i powstanie incydentu medycznego.</w:t>
      </w:r>
    </w:p>
    <w:p w14:paraId="3A973F4F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Barierki boczne metalowe lakierowane składane wzdłuż ramy leża nie powodujące poszerzenia łóżka, barierki składane poniżej poziomu materaca, Barierki boczne składające się z  trzech poprzeczek. W celach bezpieczeństwa barierki odblokowywane w trzech ruchach. tj. podniesienie barierki, zwolnienie blokady oraz  opuszczenie barierki.</w:t>
      </w:r>
    </w:p>
    <w:p w14:paraId="576499D5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Łóżko wyposażone w pilot wyposażony w wbudowaną latarkę LED i podświetlane przyciski w celu łatwej obsługi podczas nocy oraz  centralny panel sterowania dla  personelu: min. regulacja kąta nachylenia segmentu pleców, ud oraz wysokości, funkcji przechyłów wzdłużnych,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autokontur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, pozycja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antyszokowa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, pozycja krzesła kardiologicznego i pozycja CPR. Panel z możliwością zawieszenia na szczycie od strony nóg oraz schowania w półce na pościel.  3 oznaczone innymi kolorami strefy w panelu sterowania w celu bardziej intuicyjnej obsługi.</w:t>
      </w:r>
    </w:p>
    <w:p w14:paraId="496E5BF1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Regulacja elektryczna uzyskiwana przy pomocy jednego oznaczonego odpowiednim piktogramem przycisku na panelu sterowniczym montowanym na szczycie łóżka od strony nóg :- pozycji krzesła kardiologicznego, pozycji leża CPR, pozycji leża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antyszokowej</w:t>
      </w:r>
      <w:proofErr w:type="spellEnd"/>
    </w:p>
    <w:p w14:paraId="29CA050B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Wyłączniki/blokady funkcji elektrycznych (uruchamiane na panelu sterowniczym dla personelu) dla poszczególnych regulacji:</w:t>
      </w:r>
    </w:p>
    <w:p w14:paraId="46303E54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- regulacji wysokości, </w:t>
      </w:r>
    </w:p>
    <w:p w14:paraId="43D3F35C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- regulacji części plecowej </w:t>
      </w:r>
    </w:p>
    <w:p w14:paraId="352BD7E8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regulacji części nożnej</w:t>
      </w:r>
    </w:p>
    <w:p w14:paraId="6E069DB2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- przechyłu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i anty-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</w:p>
    <w:p w14:paraId="0EDC9B45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pozycji krzesła kardiologicznego.</w:t>
      </w:r>
    </w:p>
    <w:p w14:paraId="403D653B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Diodowe wskaźniki informujące o zablokowanych regulacjach w panelu dla personelu oraz w pilocie dla pacjenta.</w:t>
      </w:r>
    </w:p>
    <w:p w14:paraId="0E6166FF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Przycisk bezpieczeństwa (oznaczony charakterystycznie: STOP , natychmiastowe odłączenie wszystkich (za wyjątkiem funkcji ratujących życie)  funkcji elektrycznych w przypadku wystąpienia zagrożenia dla pacjenta lub personelu również odcinający funkcje w przypadku braku podłączenia do sieci – pracy na akumulatorze.</w:t>
      </w:r>
    </w:p>
    <w:p w14:paraId="49B900F4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Zabezpieczenie przed nieświadomym uruchomieniem funkcji poprzez konieczność wciśnięcia przycisku uruchamiającego dostępność funkcji. Przycisk aktywacji na panelu dla personelu i pilocie pacjenta. Naciśnięcie przycisku aktywacji na pilocie lub panelu sterowania aktywuje wszystkie sterowniki.</w:t>
      </w:r>
    </w:p>
    <w:p w14:paraId="596672F2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Odłączenie wszelkich regulacji po  180 sekundach nieużywania regulacji, za wyjątkiem funkcji ratujących życie</w:t>
      </w:r>
    </w:p>
    <w:p w14:paraId="4A5493BE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System elektrycznej ochrony przed uszkodzeniem łóżka w wyniku przeciążenia, polegający na wyłączeniu regulacji łóżka w przypadku przekroczenia dopuszczalnego obciążenia</w:t>
      </w:r>
    </w:p>
    <w:p w14:paraId="29B4B418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Łóżko wyposażone w rozwiązanie ułatwiające pracę personelu /brak konieczności schylania się i narażania kręgosłupa na uraz/ :</w:t>
      </w:r>
    </w:p>
    <w:p w14:paraId="146DCEEB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Barierki boczne wyposażone w mechanizm zwalniania barierki w jej górnej części, na najwyższej poprzeczce, składane jedną ręką .</w:t>
      </w:r>
    </w:p>
    <w:p w14:paraId="1DF033E2" w14:textId="77777777" w:rsid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4859FCDE" w14:textId="77777777" w:rsid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53A7CAD0" w14:textId="2303156F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Wyposażenie łóżka : </w:t>
      </w:r>
    </w:p>
    <w:p w14:paraId="671C654D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barierki boczne opisane powyżej</w:t>
      </w:r>
    </w:p>
    <w:p w14:paraId="47672FB6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materac w pokrowcu paroprzepuszczalnym, nie przepuszczającym wody. Pokrowiec odpinany 180°. Zamek zabezpieczony przed wnikaniem płynów. Wysokość materaca 140mm. Materac posiadający nacięcia w okolicy uda dla lepszej dystrybucji ciężaru pacjenta. Łączenie pokrowca zszywane</w:t>
      </w:r>
    </w:p>
    <w:p w14:paraId="5C9E32CE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Wysięgnik z uchwytem do ręki</w:t>
      </w:r>
    </w:p>
    <w:p w14:paraId="3C0FF2EF" w14:textId="77777777" w:rsidR="008F0ACF" w:rsidRPr="008F0ACF" w:rsidRDefault="008F0ACF" w:rsidP="008F0ACF">
      <w:pPr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uzupełnienie barierek (protektor) – 3 komplety do wszystkich łóżek</w:t>
      </w:r>
    </w:p>
    <w:p w14:paraId="2D21811E" w14:textId="6A01F7E2" w:rsidR="008F0ACF" w:rsidRPr="006A6794" w:rsidRDefault="008F0ACF" w:rsidP="006A6794">
      <w:pPr>
        <w:spacing w:after="0"/>
        <w:jc w:val="both"/>
        <w:rPr>
          <w:rFonts w:asciiTheme="majorHAnsi" w:eastAsia="Calibri" w:hAnsiTheme="majorHAnsi" w:cstheme="majorHAnsi"/>
          <w:b/>
          <w:bCs/>
          <w:kern w:val="2"/>
          <w:sz w:val="20"/>
          <w:szCs w:val="20"/>
          <w14:ligatures w14:val="standardContextual"/>
        </w:rPr>
      </w:pPr>
      <w:r w:rsidRPr="005D3FFF"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688F87EB" wp14:editId="60B3F10E">
            <wp:extent cx="5851525" cy="3090951"/>
            <wp:effectExtent l="0" t="0" r="0" b="0"/>
            <wp:docPr id="20148848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3090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BC6D6" w14:textId="77777777" w:rsidR="002679DA" w:rsidRPr="007C02D9" w:rsidRDefault="002679DA" w:rsidP="009614E6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063A0A14" w14:textId="38BCE0B0" w:rsidR="00DF5E11" w:rsidRDefault="00A61A63" w:rsidP="009614E6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bCs/>
          <w:sz w:val="20"/>
          <w:szCs w:val="20"/>
          <w:lang w:eastAsia="pl-PL"/>
        </w:rPr>
        <w:t>Odpowiedź</w:t>
      </w:r>
      <w:r w:rsidR="00C037A2" w:rsidRPr="007C02D9">
        <w:rPr>
          <w:rFonts w:eastAsia="Times New Roman" w:cstheme="minorHAnsi"/>
          <w:b/>
          <w:bCs/>
          <w:sz w:val="20"/>
          <w:szCs w:val="20"/>
          <w:lang w:eastAsia="pl-PL"/>
        </w:rPr>
        <w:t xml:space="preserve">: </w:t>
      </w:r>
      <w:r w:rsidR="00FC76CD" w:rsidRPr="00FC76CD">
        <w:rPr>
          <w:rFonts w:eastAsia="Times New Roman" w:cstheme="minorHAnsi"/>
          <w:sz w:val="20"/>
          <w:szCs w:val="20"/>
          <w:lang w:eastAsia="pl-PL"/>
        </w:rPr>
        <w:t>Zamawiający dopuści powyższe obok rozwiązania opisanego w SWZ, jednak wymaga odnotowania tego faktu w postaci * i przypisu.</w:t>
      </w:r>
      <w:r w:rsidR="00FC76CD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</w:t>
      </w:r>
    </w:p>
    <w:p w14:paraId="1901C99B" w14:textId="77777777" w:rsidR="006A6794" w:rsidRPr="007C02D9" w:rsidRDefault="006A6794" w:rsidP="009614E6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32870535" w14:textId="3A3A0347" w:rsidR="006A6794" w:rsidRPr="007C02D9" w:rsidRDefault="006A6794" w:rsidP="006A6794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sz w:val="20"/>
          <w:szCs w:val="20"/>
          <w:lang w:eastAsia="pl-PL"/>
        </w:rPr>
        <w:t xml:space="preserve">Pytanie nr </w:t>
      </w:r>
      <w:r>
        <w:rPr>
          <w:rFonts w:eastAsia="Times New Roman" w:cstheme="minorHAnsi"/>
          <w:b/>
          <w:sz w:val="20"/>
          <w:szCs w:val="20"/>
          <w:lang w:eastAsia="pl-PL"/>
        </w:rPr>
        <w:t>2</w:t>
      </w:r>
    </w:p>
    <w:p w14:paraId="78FA6F1D" w14:textId="77777777" w:rsidR="006A6794" w:rsidRPr="006A6794" w:rsidRDefault="006A6794" w:rsidP="006A6794">
      <w:pPr>
        <w:spacing w:after="0"/>
        <w:jc w:val="both"/>
        <w:rPr>
          <w:rFonts w:asciiTheme="majorHAnsi" w:eastAsia="Calibri" w:hAnsiTheme="majorHAnsi" w:cstheme="majorHAnsi"/>
          <w:b/>
          <w:bCs/>
          <w:kern w:val="2"/>
          <w:sz w:val="20"/>
          <w:szCs w:val="20"/>
          <w14:ligatures w14:val="standardContextual"/>
        </w:rPr>
      </w:pPr>
      <w:r w:rsidRPr="006A6794">
        <w:rPr>
          <w:rFonts w:asciiTheme="majorHAnsi" w:eastAsia="Calibri" w:hAnsiTheme="majorHAnsi" w:cstheme="majorHAnsi"/>
          <w:b/>
          <w:bCs/>
          <w:kern w:val="2"/>
          <w:sz w:val="20"/>
          <w:szCs w:val="20"/>
          <w14:ligatures w14:val="standardContextual"/>
        </w:rPr>
        <w:t>Dotyczy: Pozycja 2: Łóżko intensywnej terapii typ A – 5szt:</w:t>
      </w:r>
    </w:p>
    <w:p w14:paraId="7827D95E" w14:textId="78B954E3" w:rsidR="006A6794" w:rsidRDefault="006A6794" w:rsidP="006A6794">
      <w:pPr>
        <w:spacing w:after="0"/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6A6794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Czy Zamawiający dopuści łóżka szpitalne fabrycznie nowe, nie powystawowe, </w:t>
      </w:r>
      <w:proofErr w:type="spellStart"/>
      <w:r w:rsidRPr="006A6794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nierekondycjonowane</w:t>
      </w:r>
      <w:proofErr w:type="spellEnd"/>
      <w:r w:rsidRPr="006A6794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wyprodukowane w 2021roku?</w:t>
      </w:r>
    </w:p>
    <w:p w14:paraId="5C0010EE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Szczyty odejmowane, tworzywowe lekkie  stanowiące jedną zwartą bryłę z kolorową wstawką z tworzywa, bez dodatkowych widocznych rur lub innych elementów mocujących dokręcanych do szczytu. Szczyty łóżka z możliwością zablokowania przed przypadkowym wypadnięciem np. podczas transportu, odblokowywane za pomocą jednego przycisku zlokalizowanego centralnie w dolnej części szczytu. Szczyty łóżka z wyprofilowanymi uchwytami do prowadzenia łóżka umieszczone od góry oraz z boku szczytu. </w:t>
      </w:r>
    </w:p>
    <w:p w14:paraId="09966E61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Szczyt łóżka od strony głowy nie poruszający się wraz z leżem, będący zamocowany na stałe – rozwiązanie zabezpieczające przed niszczeniem ścian, paneli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nadłóżkowych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przy regulacji funkcji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, regulacji wysokości leża </w:t>
      </w:r>
    </w:p>
    <w:p w14:paraId="6B1532A3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Barierki dzielone, tworzywowe poruszające  się z segmentami leża będące zabezpieczeniem na całej długości łóżka to znaczy od szczytu głowy aż do szczytu nóg  pacjenta leżącego oraz w pozycji siedzącej.</w:t>
      </w:r>
    </w:p>
    <w:p w14:paraId="503073B3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63C340CF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3CC45955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27448849" w14:textId="549A4134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Barierki boczne łatwe do obsługi przez personel medyczny zwalniane za pomocą jednej ręki  wyposażone w system spowalniający opadanie  wspomagany  sprężyną gazową  </w:t>
      </w:r>
    </w:p>
    <w:p w14:paraId="0B2D0FBF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Barierki boczne z wyprofilowanymi uchwytami mogącymi służyć jako podparcie dla pacjenta podczas wstawania </w:t>
      </w:r>
    </w:p>
    <w:p w14:paraId="5AC1C0D7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Barierki boczne ze zintegrowanymi uchwytami na worki urologiczne zapewniające  dostęp niezależnie od położenia barierek bocznych  </w:t>
      </w:r>
    </w:p>
    <w:p w14:paraId="560FE99F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Barierki boczne wyposażone w wbudowany, zintegrowany  wskaźnik kątowy z wykorzystaniem cieczy z wyraźnym zaznaczeniem kąta 30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, 60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 dla segmentu pleców oraz wskaźnik pochylenia leża z zaznaczeniem kąta 16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i 20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</w:p>
    <w:p w14:paraId="3B8259B8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Barierki boczne wyposażone w wbudowany  podświetlany wskaźnik kątowy z wykorzystaniem cieczy, z wyraźnie zaznaczoną pozycją 30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dla segmentu pleców informujący poprzez zmianę koloru podświetlenia o: </w:t>
      </w:r>
    </w:p>
    <w:p w14:paraId="12B8C356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- trybie czuwania </w:t>
      </w:r>
    </w:p>
    <w:p w14:paraId="552A6566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trybie gotowości do użycia</w:t>
      </w:r>
    </w:p>
    <w:p w14:paraId="5680EBDF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- najniższej pozycji leża </w:t>
      </w:r>
    </w:p>
    <w:p w14:paraId="2AE5A07B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Leże łóżka  4 – sekcyjne o nowoczesnej konstrukcji opartej na dwóch szczelnych kolumnach cylindrycznych </w:t>
      </w:r>
    </w:p>
    <w:p w14:paraId="464A59B0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Leże wypełnione pięcioma odczepianymi poprzecznymi tworzywowymi lamelami z Polipropylenu, z systemem zatrzaskiwania. Lamele wyposażone w otwory wentylacyjne oraz system odprowadzania płynów pod łóżko. Lamele z tworzywa przezierne dla promieni RTG. </w:t>
      </w:r>
    </w:p>
    <w:p w14:paraId="2D5F87F6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Koła z systemem sterowania jazdy na wprost i z centralnym systemem hamulcowym. System obsługiwany dźwigniami od strony nóg pacjenta, zlokalizowanymi bezpośrednio przy kołach. </w:t>
      </w:r>
    </w:p>
    <w:p w14:paraId="44EFA5BC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Pojedyncze koła jezdne o średnicy 150 mm gwarantujące doskonałą mobilność łóżka</w:t>
      </w:r>
    </w:p>
    <w:p w14:paraId="38B5EE12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Alarm dźwiękowy niezabezpieczonego hamulca. Alarm uruchamia się po podłączeniu łóżka do sieci elektrycznej.</w:t>
      </w:r>
    </w:p>
    <w:p w14:paraId="367AFB09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Łóżko wyposażone w dodatkowe 5te koło umieszczone pod leżem ułatwiające manewrowanie i przemieszczanie</w:t>
      </w:r>
    </w:p>
    <w:p w14:paraId="26FD6196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sterowanie elektryczne łóżka przy pomocy:</w:t>
      </w:r>
    </w:p>
    <w:p w14:paraId="61957EBF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•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ab/>
        <w:t xml:space="preserve">Zintegrowanych przycisków w górnych barierkach bocznych łóżka od strony wewnętrznej dla pacjenta oraz zewnętrznej dla personelu (z obu stron), wyposażone w przycisk aktywujący sterowanie, regulacje: wysokość, kąt nachylenia pleców i uda oraz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autokontur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, </w:t>
      </w:r>
    </w:p>
    <w:p w14:paraId="3F2C5BA0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•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ab/>
        <w:t xml:space="preserve">Centralny panel sterowania wszystkimi funkcjami elektrycznymi montowany na szczycie od strony nóg. Panel wyposażony w  3 pola odróżniające się kolorystycznie oraz kilkucentymetrowe piktogramy po kilka w każdym polu – rozwiązanie ułatwiające szybkie odnalezienie wybranej regulacji bez ryzyka przypadkowego wyboru funkcji. </w:t>
      </w:r>
    </w:p>
    <w:p w14:paraId="23C3D4BB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•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ab/>
        <w:t>Sterownika nożnego do sterowania wysokości leża oraz pozycji egzaminacyjnej, zabezpieczonego przed przypadkowym uruchomieniem,</w:t>
      </w:r>
    </w:p>
    <w:p w14:paraId="2AC4C7FA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•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ab/>
        <w:t>Barierki  boczne wyposażone w dodatkowy panel służący do regulacji wysokości, umieszczony bezpośrednio przy uchwycie w barierce,</w:t>
      </w:r>
    </w:p>
    <w:p w14:paraId="5A388495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Sterowanie nożne regulacji wysokości oraz pozycji egzaminacyjnej czyli wyzerowania się leża i górnej pozycji wysokości umożliwiających obsługę łóżka w sytuacjach gdy personel nie chce używać rąk (np. Ma ubrane rękawice i po naciśnięciu przycisku ręką powinien je wymienić) </w:t>
      </w:r>
    </w:p>
    <w:p w14:paraId="45431BE6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Panele sterujące nożne zabezpieczone przed wnikaniem wody i pyłów. Przyciski z gumową osłoną. </w:t>
      </w:r>
    </w:p>
    <w:p w14:paraId="529C8342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77C93699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2D14D43D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3A92233E" w14:textId="7D4076A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Zasilanie 230 V, 50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Hz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z sygnalizacją włączenia do sieci w celu uniknięcia nieświadomego wyrwania kabla z gniazdka i uszkodzenia łóżka lub gniazdka. Kabel zasilający w przewodzie skręcanym rozciągliwym. </w:t>
      </w:r>
    </w:p>
    <w:p w14:paraId="135ECF74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Wbudowany akumulator do zasilania podczas transportu ze wskaźnikiem stanu naładowania oraz wskaźnikiem informującym o konieczności wymiany baterii </w:t>
      </w:r>
    </w:p>
    <w:p w14:paraId="37494505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Długość zewnętrzna łóżka –  2233mm  z możliwością przedłużania leża o 32 cm</w:t>
      </w:r>
    </w:p>
    <w:p w14:paraId="10E9AD48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Szerokość zewnętrzna łóżka – 995 mm </w:t>
      </w:r>
    </w:p>
    <w:p w14:paraId="6FA95C2D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Regulacja elektryczna wysokości leża, w zakresie 395 mm do 775 mm  gwarantująca bezpieczne opuszczanie łóżka i zapobiegająca „zeskakiwaniu” pacjenta z łóżka</w:t>
      </w:r>
    </w:p>
    <w:p w14:paraId="4F420CF4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Panel sterowniczy wyposażony w funkcję automatycznego zatrzymania oparcia pleców pod kątem 30 st. przy regulacji w dowolnym kierunku</w:t>
      </w:r>
    </w:p>
    <w:p w14:paraId="33F7C7FB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Regulacja elektryczna części plecowej w zakresie  64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</w:p>
    <w:p w14:paraId="43BFABC5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Regulacja elektryczna części nożnej w zakresie 32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</w:p>
    <w:p w14:paraId="2B2D7843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Regulacja elektryczna funkcji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autokontur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, sterowanie przy pomocy przycisków w barierkach  bocznych i z panelu sterowniczego montowanego na szczycie łóżka od strony nóg</w:t>
      </w:r>
    </w:p>
    <w:p w14:paraId="0A6B7810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Funkcja autoregresji o parametrze 11 cm niwelująca ryzyko powstawania odleżyn dzięki minimalizacji nacisku w odcinku krzyżowo-lędźwiowym a tym samym pełniąca funkcje profilaktyczną  przeciwko odleżynom stopnia 1-4</w:t>
      </w:r>
    </w:p>
    <w:p w14:paraId="57E9A97F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Regulacja elektryczna pozycji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16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– sterowanie z panelu sterowniczego montowanego na szczycie łóżka od strony nóg</w:t>
      </w:r>
    </w:p>
    <w:p w14:paraId="3A184301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Regulacja elektryczna pozycji anty-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 16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– sterowanie z panelu sterowniczego montowanego na szczycie łóżka od strony nóg. </w:t>
      </w:r>
    </w:p>
    <w:p w14:paraId="4FCF5D59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Regulacja elektryczna do pozycji krzesła kardiologicznego – sterowanie przy pomocy jednego oznaczonego odpowiednim piktogramem przycisku na panelu sterowniczym montowanym na szczycie łóżka od strony nóg</w:t>
      </w:r>
    </w:p>
    <w:p w14:paraId="613CECF5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Elektryczna funkcja CPR z każdej pozycji do reanimacji – sterowanie przy pomocy jednego przycisku oznaczonego odpowiednim piktogramem na panelu sterowniczym montowanym na szczycie łóżka od strony nóg</w:t>
      </w:r>
    </w:p>
    <w:p w14:paraId="795B53BC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Elektryczna funkcja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antyszokowa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 z każdej pozycji– sterowanie przy pomocy jednego przycisku oznaczonego odpowiednim piktogramem na panelu sterowniczym montowanym na szczycie łóżka od strony nóg. Przycisk oznaczony innym kolorem niż pozycja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</w:p>
    <w:p w14:paraId="3FA8403E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Elektryczna regulacja pozycji egzaminacyjnej   – sterowanie przy pomocy jednego przycisku oznaczonego odpowiednim piktogramem na panelu sterowniczym montowanym na szczycie łóżka od strony nóg</w:t>
      </w:r>
    </w:p>
    <w:p w14:paraId="34B5688F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Wyłączniki/blokady funkcji elektrycznych (na centralnym panelu sterowania) dla poszczególnych regulacji (selektywny wybór):</w:t>
      </w:r>
    </w:p>
    <w:p w14:paraId="2E790E37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regulacji wysokości</w:t>
      </w:r>
    </w:p>
    <w:p w14:paraId="75232CC4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- regulacji części plecowej </w:t>
      </w:r>
    </w:p>
    <w:p w14:paraId="617964C5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- regulacji części nożnej </w:t>
      </w:r>
    </w:p>
    <w:p w14:paraId="091BC64B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Kontrolki informujące o aktywnych, zablokowanych funkcjach łóżka </w:t>
      </w:r>
    </w:p>
    <w:p w14:paraId="0992CDDE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Zabezpieczenie przed nieświadomym uruchomieniem funkcji poprzez konieczność wciśnięcia przycisku uruchamiającego dostępność funkcji – przycisk wyraźnie oznaczony na panelu centralnym oraz w barierkach</w:t>
      </w:r>
    </w:p>
    <w:p w14:paraId="2488EF1C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0DAA6E0C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5FF06DFA" w14:textId="3449C8D5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Odłączenie wszelkich (za wyjątkiem funkcji ratujących życie) regulacji po 180 sekundach nieużywania regulacji (konieczność świadomego ponownego uruchomienia regulacji)</w:t>
      </w:r>
    </w:p>
    <w:p w14:paraId="25B7EFBB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Charakterystyczny jeden przycisk bezpieczeństwa (nie będący blokadą poszczególnych funkcji) powodujący  natychmiastowe odłączenie wszystkich (za wyjątkiem funkcji ratujących życie) funkcji elektrycznych w przypadku wystąpienia zagrożenia dla pacjenta lub personelu również odcinający funkcje w przypadku braku podłączenia do sieci – pracy na akumulatorze. </w:t>
      </w:r>
    </w:p>
    <w:p w14:paraId="1C749F98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Łóżko posiadające wysuwaną spod leża półkę np. do odkładania pościeli lub schowania centralnego panelu sterowniczego  </w:t>
      </w:r>
    </w:p>
    <w:p w14:paraId="411B48B6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Tworzywowa osłona podstawy łózka</w:t>
      </w:r>
    </w:p>
    <w:p w14:paraId="4EC13453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Krążki odbojowe w każdym narożniku</w:t>
      </w:r>
    </w:p>
    <w:p w14:paraId="6501358F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4 gniazda/tuleje do montażu dodatkowego wyposażenia, np. wysięgnika ręki, ramy ortopedycznej.</w:t>
      </w:r>
    </w:p>
    <w:p w14:paraId="7A708DE1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Bezpieczne obciążenie robocze dla każdej pozycji leża i segmentów na poziomie 250kg. Pozwalające na wszystkie możliwe regulacje przy tym obciążeniu bez narażenia bezpieczeństwa pacjenta i powstanie incydentu medycznego</w:t>
      </w:r>
    </w:p>
    <w:p w14:paraId="4AFFF643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System elektrycznej ochrony przed uszkodzeniem łóżka w wyniku przeciążenia, polegający na wyłączeniu regulacji łóżka w przypadku przekroczonego obciążenia.</w:t>
      </w:r>
    </w:p>
    <w:p w14:paraId="58973630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System elektryczny łóżka wyposażony w pamięć ostatnich 1000 funkcji, przeciążeń oraz błędów </w:t>
      </w:r>
    </w:p>
    <w:p w14:paraId="3C06C513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Wyposażenie łóżka: </w:t>
      </w:r>
    </w:p>
    <w:p w14:paraId="6AC34A7C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barierki boczne opisane powyżej</w:t>
      </w:r>
    </w:p>
    <w:p w14:paraId="610D560E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materac w pokrowcu paroprzepuszczalnym, nie przepuszczającym wody. Pokrowiec odpinany 180°. Zamek zabezpieczony przed wnikaniem płynów. Wysokość materaca 140mm. Materac posiadający nacięcia w okolicy uda dla lepszej dystrybucji ciężaru pacjenta. Łączenie pokrowca zszywane</w:t>
      </w:r>
    </w:p>
    <w:p w14:paraId="57AB3D36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Wysięgnik ręki z uchwytem</w:t>
      </w:r>
    </w:p>
    <w:p w14:paraId="5F58308F" w14:textId="2397BBD4" w:rsidR="008F0ACF" w:rsidRPr="005D3FFF" w:rsidRDefault="008F0ACF" w:rsidP="008F0ACF">
      <w:pP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5D3FFF"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0F0D876A" wp14:editId="1510A75B">
            <wp:extent cx="4767580" cy="2700655"/>
            <wp:effectExtent l="0" t="0" r="0" b="4445"/>
            <wp:docPr id="13406366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BC606" w14:textId="77777777" w:rsidR="008F0ACF" w:rsidRPr="005D3FFF" w:rsidRDefault="008F0ACF" w:rsidP="008F0ACF">
      <w:pP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7F14CCC1" w14:textId="77777777" w:rsidR="008F0ACF" w:rsidRDefault="008F0ACF" w:rsidP="006A6794">
      <w:pPr>
        <w:spacing w:after="0"/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0EA04F46" w14:textId="77777777" w:rsidR="006A6794" w:rsidRDefault="006A6794" w:rsidP="006A6794">
      <w:pPr>
        <w:spacing w:after="0"/>
        <w:jc w:val="both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463ACDA2" w14:textId="77777777" w:rsidR="008F0ACF" w:rsidRDefault="008F0ACF" w:rsidP="006A6794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7B7D663F" w14:textId="77777777" w:rsidR="008F0ACF" w:rsidRDefault="008F0ACF" w:rsidP="006A6794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1BE87F03" w14:textId="58EF9D96" w:rsidR="006A6794" w:rsidRDefault="006A6794" w:rsidP="006A6794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bCs/>
          <w:sz w:val="20"/>
          <w:szCs w:val="20"/>
          <w:lang w:eastAsia="pl-PL"/>
        </w:rPr>
        <w:t xml:space="preserve">Odpowiedź: </w:t>
      </w:r>
      <w:r w:rsidR="00FC76CD" w:rsidRPr="00FC76CD">
        <w:rPr>
          <w:rFonts w:eastAsia="Times New Roman" w:cstheme="minorHAnsi"/>
          <w:sz w:val="20"/>
          <w:szCs w:val="20"/>
          <w:lang w:eastAsia="pl-PL"/>
        </w:rPr>
        <w:t>Zamawiający</w:t>
      </w:r>
      <w:r w:rsidR="00E159A8">
        <w:rPr>
          <w:rFonts w:eastAsia="Times New Roman" w:cstheme="minorHAnsi"/>
          <w:sz w:val="20"/>
          <w:szCs w:val="20"/>
          <w:lang w:eastAsia="pl-PL"/>
        </w:rPr>
        <w:t xml:space="preserve"> nie dopuszcza i pozostaje przy rozwiązaniu opisanym w SWZ. </w:t>
      </w:r>
    </w:p>
    <w:p w14:paraId="193B884C" w14:textId="77777777" w:rsidR="006A6794" w:rsidRPr="006A6794" w:rsidRDefault="006A6794" w:rsidP="006A6794">
      <w:pPr>
        <w:spacing w:after="0"/>
        <w:jc w:val="both"/>
        <w:rPr>
          <w:rFonts w:asciiTheme="majorHAnsi" w:eastAsia="Calibri" w:hAnsiTheme="majorHAnsi" w:cstheme="majorHAnsi"/>
          <w:b/>
          <w:bCs/>
          <w:kern w:val="2"/>
          <w:sz w:val="20"/>
          <w:szCs w:val="20"/>
          <w14:ligatures w14:val="standardContextual"/>
        </w:rPr>
      </w:pPr>
    </w:p>
    <w:p w14:paraId="3CB822D6" w14:textId="68497930" w:rsidR="00E159A8" w:rsidRPr="007C02D9" w:rsidRDefault="006A6794" w:rsidP="006A6794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sz w:val="20"/>
          <w:szCs w:val="20"/>
          <w:lang w:eastAsia="pl-PL"/>
        </w:rPr>
        <w:t xml:space="preserve">Pytanie nr </w:t>
      </w:r>
      <w:r>
        <w:rPr>
          <w:rFonts w:eastAsia="Times New Roman" w:cstheme="minorHAnsi"/>
          <w:b/>
          <w:sz w:val="20"/>
          <w:szCs w:val="20"/>
          <w:lang w:eastAsia="pl-PL"/>
        </w:rPr>
        <w:t>3</w:t>
      </w:r>
    </w:p>
    <w:p w14:paraId="60229150" w14:textId="77777777" w:rsidR="006A6794" w:rsidRPr="006A6794" w:rsidRDefault="006A6794" w:rsidP="006A6794">
      <w:pPr>
        <w:spacing w:after="0"/>
        <w:rPr>
          <w:rFonts w:asciiTheme="majorHAnsi" w:eastAsia="Calibri" w:hAnsiTheme="majorHAnsi" w:cstheme="majorHAnsi"/>
          <w:b/>
          <w:bCs/>
          <w:kern w:val="2"/>
          <w:sz w:val="20"/>
          <w:szCs w:val="20"/>
          <w14:ligatures w14:val="standardContextual"/>
        </w:rPr>
      </w:pPr>
      <w:r w:rsidRPr="006A6794">
        <w:rPr>
          <w:rFonts w:asciiTheme="majorHAnsi" w:eastAsia="Calibri" w:hAnsiTheme="majorHAnsi" w:cstheme="majorHAnsi"/>
          <w:b/>
          <w:bCs/>
          <w:kern w:val="2"/>
          <w:sz w:val="20"/>
          <w:szCs w:val="20"/>
          <w14:ligatures w14:val="standardContextual"/>
        </w:rPr>
        <w:t>Dotyczy: Pozycja 3: Łóżko intensywnej terapii typ B – 3szt</w:t>
      </w:r>
    </w:p>
    <w:p w14:paraId="550CC55A" w14:textId="77777777" w:rsidR="006A6794" w:rsidRDefault="006A6794" w:rsidP="006A6794">
      <w:pPr>
        <w:spacing w:after="0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6A6794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Czy Zamawiający dopuści łóżko o parametrach lepszych opisany poniżej, nie odbiegający funkcjonalnością od opisanego w celu poszerzenia oferty?</w:t>
      </w:r>
    </w:p>
    <w:p w14:paraId="572F8BED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Szczyty odejmowane, tworzywowe (polipropylen) lekkie stanowiące jedną zwartą bryłę. Szczyty łóżka z możliwością zablokowania przed przypadkowym wypadnięciem np. podczas transportu, odblokowywane za pomocą jednego przycisku zlokalizowanego centralnie w dolnej części szczytu. Szczyty łóżka z wyprofilowanymi uchwytami do prowadzenia łóżka umieszczone od góry oraz z boku szczytu. Szczyty posiadające wyprofilowane uchwyty do łatwego prowadzenia łóżka. </w:t>
      </w:r>
    </w:p>
    <w:p w14:paraId="5617F85C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Od strony wewnętrznej wytłoczony wskaźnik wyznaczający środek szczytu w celu ułatwienia pozycjonowania pacjenta idealnie na środku leża.</w:t>
      </w:r>
    </w:p>
    <w:p w14:paraId="709FC586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W narożnikach krążki odbojowe stożkowe</w:t>
      </w:r>
    </w:p>
    <w:p w14:paraId="3C69994B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Barierki boczne tworzywowe (polipropylen), odlane jednorodnie w formach). </w:t>
      </w:r>
    </w:p>
    <w:p w14:paraId="3A2AB693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Barierki wyposażone w wbudowane, zlicowane z powierzchnią wskaźniki kąta nachylenia segmentu pleców oraz nachylenia ramy (przechyły wzdłużne) </w:t>
      </w:r>
    </w:p>
    <w:p w14:paraId="13AB0790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Barierki boczne o wysokości 45cm nad poziomem leża, umożliwiające stosowanie z łóżkiem zaawansowanych systemów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antyodleżynowych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czy też innych rozwiązań klinicznych o wysokości nawet do 23 cm (czyli pozostawiające co najmniej 22 cm od powierzchni leża pacjenta do górnej krawędzi barierek) – wymóg bezpieczeństwa dyktowany przez normę. Barierki boczne dzielone spełniające normę bezpieczeństwa EN 60601-2-52</w:t>
      </w:r>
    </w:p>
    <w:p w14:paraId="234DD0D8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Opuszczanie barierki bocznej wspomagane sprężynami gazowymi umożliwiającymi na ciche i lekkie regulacje wykonane przez personel medyczny. </w:t>
      </w:r>
    </w:p>
    <w:p w14:paraId="7B51A46A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Barierki dzielone, podwójne, zabezpieczające pacjenta na 3/4  długości leża. </w:t>
      </w:r>
    </w:p>
    <w:p w14:paraId="061D6E52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Poruszające się wraz z segmentem pleców – zabezpieczenie również w pozycji siedzącej.</w:t>
      </w:r>
    </w:p>
    <w:p w14:paraId="321E045A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Leże wykonane z paneli tworzywowych (polipropylen). </w:t>
      </w:r>
    </w:p>
    <w:p w14:paraId="4499ABE4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Leże łóżka  4 – sekcyjne oparte na nowoczesnej konstrukcji w postaci dwóch kolumn cylindrycznych gwarantujących łatwą dezynfekcję i walkę z infekcjami. Tworzywowa, jednolita osłona podstawy na całej długości.</w:t>
      </w:r>
    </w:p>
    <w:p w14:paraId="56641056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Funkcja zaawansowanej autoregresji, system teleskopowego odsuwania się segmentu pleców oraz uda nie tylko do tyłu, ale i do góry (ruch po okręgu) podczas podnoszenia segmentów, w celu eliminacji sił tarcia będącymi potencjalnym zagrożeniem powstawania odleżyn stopnia 1:4.</w:t>
      </w:r>
    </w:p>
    <w:p w14:paraId="57D38A28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Koła tworzywowe o średnicy 150mm z systemem sterowania jazdy na wprost i boki   z centralnym systemem hamulcowym. Stalowe dźwignie z tworzywowymi nakładkami blokady hamulca umieszczone przy narożnikach od strony nóg. Dźwignie hamulca wyposażone w kolorystyczne wskaźniki stanu blokady kół. </w:t>
      </w:r>
    </w:p>
    <w:p w14:paraId="69681558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Alarm dźwiękowy niezabezpieczonego hamulca. Alarm uruchamia się po podłączeniu łóżka do sieci elektrycznej.</w:t>
      </w:r>
    </w:p>
    <w:p w14:paraId="5907B1A0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Sterowanie elektryczne przy pomocy :</w:t>
      </w:r>
    </w:p>
    <w:p w14:paraId="17362D1B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ab/>
        <w:t xml:space="preserve">Centralny panel sterowania wszystkimi funkcjami elektrycznymi montowany na szczycie od strony nóg. Panel wyposażony w 3 pola odróżniające się kolorystycznie oraz kilkucentymetrowe piktogramy po kilka w każdym polu – rozwiązanie ułatwiające szybkie odnalezienie wybranej regulacji bez ryzyka przypadkowego wyboru funkcji. </w:t>
      </w:r>
    </w:p>
    <w:p w14:paraId="3A9ACD09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472EA831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146D2074" w14:textId="5FB894BB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ab/>
        <w:t>Paneli w górnej barierce bocznej z kolorowym wyświetlaczem LCD po obu stronach łóżka oraz przyciskami służącymi do wykonywania pomiarów masy ciała pacjenta. Panel w orientacji poziomej przy segmencie pleców w pozycji 30 stopni</w:t>
      </w:r>
    </w:p>
    <w:p w14:paraId="3982CC18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ab/>
        <w:t>zintegrowanych sterowników po zewnętrznej stronie barierek bocznych dla personelu</w:t>
      </w:r>
    </w:p>
    <w:p w14:paraId="69DC9945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ab/>
        <w:t>pilota wyposażonego w wbudowaną latarkę LED i podświetlane przyciski w celu łatwej obsługi podczas nocy</w:t>
      </w:r>
    </w:p>
    <w:p w14:paraId="4EF0E320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Ekran LCD informujący o: </w:t>
      </w:r>
    </w:p>
    <w:p w14:paraId="0A463485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przeciążenie łóżka,</w:t>
      </w:r>
    </w:p>
    <w:p w14:paraId="42598964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- błąd systemu – tryb serwisowy, </w:t>
      </w:r>
    </w:p>
    <w:p w14:paraId="7FF88835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kąt nachylenia segmentu pleców,</w:t>
      </w:r>
    </w:p>
    <w:p w14:paraId="7C8E5302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kąt nachylenia leża</w:t>
      </w:r>
    </w:p>
    <w:p w14:paraId="7B137A5F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Regulacja elektryczna wysokości leża, segmentu  pleców, segmentu uda oraz funkcji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i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antyTrendelenburga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</w:t>
      </w:r>
    </w:p>
    <w:p w14:paraId="354A7816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zasilanie 230 V, 50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Hz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z sygnalizacją diodową na panelu sterowniczym informującą o podłączeniu do sieci w celu uniknięcia nieświadomego wyrwania kabla z gniazdka i uszkodzenia łóżka lub gniazdka.</w:t>
      </w:r>
    </w:p>
    <w:p w14:paraId="04EDBB4A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Wskaźnik diodowy podłączenia do sieci z funkcją informującą o ewentualnym błędzie systemu – konieczność wezwania serwisu. </w:t>
      </w:r>
    </w:p>
    <w:p w14:paraId="2F36AA73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wbudowany akumulator do zasilania podczas transportu i w sytuacjach zaniku prądu </w:t>
      </w:r>
    </w:p>
    <w:p w14:paraId="5F35C9D4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Sygnalizacja diodowa stanu naładowania akumulatorów oraz diagnozująca przypuszczalną żywotność baterii i informująca o konieczności zaplanowania terminu wymiany w celu uniknięcia sytuacji na oddziale kiedy w sytuacji zagrożenia życia łóżko z powodów braku prądu, niesprawnego akumulatora, wyczerpanej baterii i zepsutej baterii zwiększy ryzyko nie uratowania życia. </w:t>
      </w:r>
    </w:p>
    <w:p w14:paraId="2D8CB1DE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długość zewnętrzna łóżka –  2175mm </w:t>
      </w:r>
    </w:p>
    <w:p w14:paraId="0990620D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Funkcja przedłużenia leża o 220mm realizowana za pomocą mechanizmów samozatrzaskowych. Leże wyposażone w panel podtrzymujący materac po przedłużeniu leża</w:t>
      </w:r>
    </w:p>
    <w:p w14:paraId="030E3C62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Szerokość zewnętrzna łóżka – 1000 mm </w:t>
      </w:r>
    </w:p>
    <w:p w14:paraId="542F1CCB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Regulacja elektryczna wysokości leża, w zakresie 410 mm do 790 mm </w:t>
      </w:r>
    </w:p>
    <w:p w14:paraId="2E70837F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Sygnał dźwiękowy informujący o osiągnięciu minimalnej wysokości leża</w:t>
      </w:r>
    </w:p>
    <w:p w14:paraId="2D717142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Segment pleców wyposażony w funkcję automatycznego zatrzymania podczas regulacji w pozycji 30° oraz 45°</w:t>
      </w:r>
    </w:p>
    <w:p w14:paraId="7412CDCF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Łóżko wyposażone w precyzyjny układ ważenia odnotowujący masę ciała pacjenta. Wyniki pomiaru wyświetlane na ekranach LCD wbudowanych w górne barierki boczne.</w:t>
      </w:r>
    </w:p>
    <w:p w14:paraId="106E806E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Funkcja zamrażania pomiaru na czas wymiany pościeli, piżamy, w przypadku konieczności dołożenia koca itp., po wyłączeniu funkcji wyświetlacz wskazuje tylko wagę pacjenta, a  dołożenie w/w elementów nie rzutuje na wyniki pomiaru</w:t>
      </w:r>
    </w:p>
    <w:p w14:paraId="7A41A3BF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Możliwość wyboru dokładności wyświetlania wagi z dokładnością do 100g lub 500g</w:t>
      </w:r>
    </w:p>
    <w:p w14:paraId="2150B8E3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741E501D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40182FC5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4333C189" w14:textId="49F466CA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System monitorowania obecności pacjenta na łóżku sygnalizujący opuszczenie łóżka lub przesuwanie się pacjenta w kierunku krawędzi leża. </w:t>
      </w:r>
    </w:p>
    <w:p w14:paraId="33947505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Funkcja czasowego wyłączenia monitorowania na 15 minut, np. na czas pójścia do łazienki. Alarm uruchomi się w przypadku, gdy upłynie 15 minut, a pacjent nie powróci na łóżko. Informacja na ekranie LCD o pozostałym czasie do uruchomienia alarmu.</w:t>
      </w:r>
    </w:p>
    <w:p w14:paraId="615A08E5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Regulacja głośności alarmu w  3 poziomach</w:t>
      </w:r>
    </w:p>
    <w:p w14:paraId="56142F5A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Regulacja elektryczna pozycji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i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antytrendelenburga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14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za pomocą panelu centralnego i sterowników wbudowanych w barierki boczne dla personelu od strony zewnętrznej </w:t>
      </w:r>
    </w:p>
    <w:p w14:paraId="5F697AB1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Regulacja funkcji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autokontur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sterowana jednym przyciskiem za pomocą panelu centralnego, sterowników wbudowanych w barierki boczne dla personelu od strony zewnętrznej i pilota regulacja Elektryczna do pozycji krzesła kardiologicznego – sterowanie przy pomocy jednego przycisku oznaczonego odpowiednim piktogramem </w:t>
      </w:r>
    </w:p>
    <w:p w14:paraId="6C94C0D3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elektryczna funkcja CPR (wypoziomowania wszystkich segmentów i opuszczania leża do minimalnej wysokości) - sterowanie przy pomocy jednego przycisku oznaczonego odpowiednim piktogramem:  na panelu centralnym i na sterownikach wbudowanych w barierki boczne dla personelu od strony zewnętrznej.</w:t>
      </w:r>
    </w:p>
    <w:p w14:paraId="21B64767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Zasilanie akumulatorowe pozostawiające zapas energii wyłącznie dla pozycji CPR – stan sygnalizowany poprzez diodę na panelu centralnym.</w:t>
      </w:r>
    </w:p>
    <w:p w14:paraId="68DE11DB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Elektryczna pozycja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antyszokowa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(wypoziomowania wszystkich segmentów i wykonania przechyłu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) - sterowanie przy pomocy jednego przycisku oznaczonego innym kolorem niż pozycja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 </w:t>
      </w:r>
    </w:p>
    <w:p w14:paraId="2A5FFDCA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Selektywne blokowanie funkcji elektrycznych:</w:t>
      </w:r>
    </w:p>
    <w:p w14:paraId="3F97F231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regulacja wysokości,</w:t>
      </w:r>
    </w:p>
    <w:p w14:paraId="43332A67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regulacja nachylenia segmentu pleców i nóg,</w:t>
      </w:r>
    </w:p>
    <w:p w14:paraId="1CEE7AC6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- funkcja krzesła kardiologicznego, </w:t>
      </w:r>
    </w:p>
    <w:p w14:paraId="03E8D11B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- funkcja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 i anty-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</w:p>
    <w:p w14:paraId="15AA9DC0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Próba użycia zablokowanej funkcji uruchamia alarm dźwiękowy oraz informację w postaci piktogramu na ekranie LCD w barierkach bocznych.</w:t>
      </w:r>
    </w:p>
    <w:p w14:paraId="4D729748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Zabezpieczenie przed nieświadomym uruchomieniem regulacji elektrycznych poprzez konieczność wciśnięcia przycisku uruchamiającego dostępność funkcji.</w:t>
      </w:r>
    </w:p>
    <w:p w14:paraId="40227867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Wyświetlacz LCD w barierkach bocznych informujący za pomocą kolorowego piktogramu o konieczności użycia przycisku aktywacyjnego. </w:t>
      </w:r>
    </w:p>
    <w:p w14:paraId="0571D9B1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Odłączenie wszelkich (za wyjątkiem funkcji ratujących życie) regulacji po  180 sekundach nieużywania regulacji chroniącej pacjenta przed nagłymi niepożądanymi regulacjami (konieczność świadomego ponownego uruchomienia regulacji)</w:t>
      </w:r>
    </w:p>
    <w:p w14:paraId="7BB91FB5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Przycisk bezpieczeństwa (oznaczony charakterystycznie: STOP ) natychmiastowe odłączenie wszystkich (za wyjątkiem funkcji ratujących życie) funkcji elektrycznych w przypadku wystąpienia zagrożenia dla pacjenta lub personelu </w:t>
      </w:r>
    </w:p>
    <w:p w14:paraId="08025CBE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Elektryczna i mechaniczna funkcja CPR</w:t>
      </w:r>
    </w:p>
    <w:p w14:paraId="5DAC8D69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Bezpieczne obciążenie robocze na poziomie  250kg. Pozwalające na regulacje przy tym obciążeniu bez narażenia bezpieczeństwa pacjenta i powstanie incydentu medycznego</w:t>
      </w:r>
    </w:p>
    <w:p w14:paraId="021433EA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2B42A3A7" w14:textId="77777777" w:rsid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3FB9CB50" w14:textId="5C184CAE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System elektrycznej ochrony przed uszkodzeniem łóżka w wyniku przeciążenia, polega na wyłączeniu regulacji łóżka w przypadku przekroczonego obciążenia. Przeciążenie uruchamia alarm dźwiękowy oraz informację na ekranie LCD w barierkach bocznych.</w:t>
      </w:r>
    </w:p>
    <w:p w14:paraId="55B9918E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Wyposażenie : </w:t>
      </w:r>
    </w:p>
    <w:p w14:paraId="4B11D817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barierki boczne opisane powyżej</w:t>
      </w:r>
    </w:p>
    <w:p w14:paraId="069BCC97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tworzywowe haczyki na worki urologiczne – 2szt po każdej stronie łóżka</w:t>
      </w:r>
    </w:p>
    <w:p w14:paraId="2204755B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gniazdo ekwipotencjalne – 1szt</w:t>
      </w:r>
    </w:p>
    <w:p w14:paraId="2016D5E3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- poziomica trwale wbudowana w konstrukcją łóżka </w:t>
      </w:r>
    </w:p>
    <w:p w14:paraId="2718374A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 xml:space="preserve">- ładowarka </w:t>
      </w:r>
      <w:proofErr w:type="spellStart"/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usb</w:t>
      </w:r>
      <w:proofErr w:type="spellEnd"/>
    </w:p>
    <w:p w14:paraId="670DD2D8" w14:textId="77777777" w:rsidR="008F0ACF" w:rsidRPr="008F0ACF" w:rsidRDefault="008F0ACF" w:rsidP="008F0ACF">
      <w:pPr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  <w:t>- materac w pokrowcu paroprzepuszczalnym, nie przepuszczającym wody. Pokrowiec odpinany 180°. Zamek zabezpieczony przed wnikaniem płynów. Wysokość materaca 140mm. Materac posiadający nacięcia w okolicy uda dla lepszej dystrybucji ciężaru pacjenta. Łączenie pokrowca zszywane</w:t>
      </w:r>
    </w:p>
    <w:p w14:paraId="185E94D1" w14:textId="0794DBDF" w:rsidR="008F0ACF" w:rsidRPr="005D3FFF" w:rsidRDefault="008F0ACF" w:rsidP="008F0ACF">
      <w:pP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5D3FFF">
        <w:rPr>
          <w:rFonts w:ascii="Times New Roman" w:eastAsia="Calibri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74C3B820" wp14:editId="137B93B9">
            <wp:extent cx="4224655" cy="2816860"/>
            <wp:effectExtent l="0" t="0" r="4445" b="2540"/>
            <wp:docPr id="58508014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81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A94321" w14:textId="77777777" w:rsidR="006A6794" w:rsidRPr="006A6794" w:rsidRDefault="006A6794" w:rsidP="006A6794">
      <w:pPr>
        <w:spacing w:after="0"/>
        <w:rPr>
          <w:rFonts w:asciiTheme="majorHAnsi" w:eastAsia="Calibri" w:hAnsiTheme="majorHAnsi" w:cstheme="majorHAnsi"/>
          <w:kern w:val="2"/>
          <w:sz w:val="20"/>
          <w:szCs w:val="20"/>
          <w14:ligatures w14:val="standardContextual"/>
        </w:rPr>
      </w:pPr>
    </w:p>
    <w:p w14:paraId="4D5F4D84" w14:textId="1508946F" w:rsidR="006A6794" w:rsidRDefault="006A6794" w:rsidP="006A6794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bCs/>
          <w:sz w:val="20"/>
          <w:szCs w:val="20"/>
          <w:lang w:eastAsia="pl-PL"/>
        </w:rPr>
        <w:t xml:space="preserve">Odpowiedź: </w:t>
      </w:r>
      <w:bookmarkStart w:id="0" w:name="_Hlk156307057"/>
      <w:r w:rsidR="00FC76CD" w:rsidRPr="00FC76CD">
        <w:rPr>
          <w:rFonts w:eastAsia="Times New Roman" w:cstheme="minorHAnsi"/>
          <w:sz w:val="20"/>
          <w:szCs w:val="20"/>
          <w:lang w:eastAsia="pl-PL"/>
        </w:rPr>
        <w:t>Zamawiający dopuści powyższe obok rozwiązania opisanego w SWZ, jednak wymaga odnotowania tego faktu w postaci * i przypisu.</w:t>
      </w:r>
      <w:bookmarkEnd w:id="0"/>
    </w:p>
    <w:p w14:paraId="502E2B0D" w14:textId="77777777" w:rsidR="006A6794" w:rsidRDefault="006A6794" w:rsidP="006A6794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16A29CD5" w14:textId="3FC690A0" w:rsidR="006A6794" w:rsidRPr="007C02D9" w:rsidRDefault="006A6794" w:rsidP="006A6794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sz w:val="20"/>
          <w:szCs w:val="20"/>
          <w:lang w:eastAsia="pl-PL"/>
        </w:rPr>
        <w:t xml:space="preserve">Pytanie nr </w:t>
      </w:r>
      <w:r>
        <w:rPr>
          <w:rFonts w:eastAsia="Times New Roman" w:cstheme="minorHAnsi"/>
          <w:b/>
          <w:sz w:val="20"/>
          <w:szCs w:val="20"/>
          <w:lang w:eastAsia="pl-PL"/>
        </w:rPr>
        <w:t>4</w:t>
      </w:r>
    </w:p>
    <w:p w14:paraId="3BF1423E" w14:textId="77777777" w:rsidR="00F71542" w:rsidRPr="00F71542" w:rsidRDefault="00F71542" w:rsidP="00AA55F1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bCs/>
          <w:sz w:val="20"/>
          <w:szCs w:val="20"/>
        </w:rPr>
      </w:pPr>
      <w:r w:rsidRPr="00F71542">
        <w:rPr>
          <w:rFonts w:asciiTheme="majorHAnsi" w:hAnsiTheme="majorHAnsi" w:cstheme="majorHAnsi"/>
          <w:sz w:val="20"/>
          <w:szCs w:val="20"/>
        </w:rPr>
        <w:t>Dot. SWZ Rozdział XV</w:t>
      </w:r>
    </w:p>
    <w:p w14:paraId="4CA02858" w14:textId="588165FE" w:rsidR="00F71542" w:rsidRDefault="00320AC6" w:rsidP="00AA55F1">
      <w:pPr>
        <w:pStyle w:val="Tekstpodstawowy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</w:t>
      </w:r>
      <w:r w:rsidR="00F71542" w:rsidRPr="00F71542">
        <w:rPr>
          <w:rFonts w:asciiTheme="majorHAnsi" w:hAnsiTheme="majorHAnsi" w:cstheme="majorHAnsi"/>
          <w:sz w:val="20"/>
          <w:szCs w:val="20"/>
        </w:rPr>
        <w:t>rosimy Zamawiającego o potwierdzenie, że w ramach przydzielonej punktacji dla kryterium „termin realizacji” doszło do oczywistej omyłki pisarskiej – występuje rozbieżność pomiędzy szczegółowym opisem kryterium (max. 30 pkt dla wartości „1 dzień”) a przydzieloną punktacją w opisie ogólnym kryterium (max. 10 pkt).</w:t>
      </w:r>
    </w:p>
    <w:p w14:paraId="35B070D0" w14:textId="77777777" w:rsidR="00F71542" w:rsidRPr="00F71542" w:rsidRDefault="00F71542" w:rsidP="00F71542">
      <w:pPr>
        <w:pStyle w:val="Tekstpodstawowy"/>
        <w:spacing w:after="0" w:line="360" w:lineRule="auto"/>
        <w:jc w:val="both"/>
        <w:rPr>
          <w:rFonts w:asciiTheme="majorHAnsi" w:hAnsiTheme="majorHAnsi" w:cstheme="majorHAnsi"/>
          <w:bCs/>
          <w:sz w:val="20"/>
          <w:szCs w:val="20"/>
        </w:rPr>
      </w:pPr>
    </w:p>
    <w:p w14:paraId="515B1496" w14:textId="1E208BA1" w:rsidR="00800EAA" w:rsidRPr="00320AC6" w:rsidRDefault="00F71542" w:rsidP="00320AC6">
      <w:pPr>
        <w:spacing w:after="200" w:line="276" w:lineRule="auto"/>
        <w:jc w:val="both"/>
        <w:rPr>
          <w:rFonts w:ascii="Arial" w:eastAsia="Calibri" w:hAnsi="Arial"/>
        </w:rPr>
      </w:pPr>
      <w:r w:rsidRPr="007C02D9">
        <w:rPr>
          <w:rFonts w:eastAsia="Times New Roman" w:cstheme="minorHAnsi"/>
          <w:b/>
          <w:bCs/>
          <w:sz w:val="20"/>
          <w:szCs w:val="20"/>
          <w:lang w:eastAsia="pl-PL"/>
        </w:rPr>
        <w:t xml:space="preserve">Odpowiedź: </w:t>
      </w:r>
      <w:r w:rsidR="00AA55F1" w:rsidRPr="00320AC6">
        <w:rPr>
          <w:rFonts w:eastAsia="Times New Roman" w:cstheme="minorHAnsi"/>
          <w:sz w:val="20"/>
          <w:szCs w:val="20"/>
          <w:lang w:eastAsia="pl-PL"/>
        </w:rPr>
        <w:t xml:space="preserve">Zamawiający potwierdza, że doszło do </w:t>
      </w:r>
      <w:r w:rsidR="00320AC6">
        <w:rPr>
          <w:rFonts w:eastAsia="Times New Roman" w:cstheme="minorHAnsi"/>
          <w:sz w:val="20"/>
          <w:szCs w:val="20"/>
          <w:lang w:eastAsia="pl-PL"/>
        </w:rPr>
        <w:t xml:space="preserve">oczywistej </w:t>
      </w:r>
      <w:r w:rsidR="00AA55F1" w:rsidRPr="00320AC6">
        <w:rPr>
          <w:rFonts w:eastAsia="Times New Roman" w:cstheme="minorHAnsi"/>
          <w:sz w:val="20"/>
          <w:szCs w:val="20"/>
          <w:lang w:eastAsia="pl-PL"/>
        </w:rPr>
        <w:t>omyłki pisarskiej.</w:t>
      </w:r>
      <w:r w:rsidR="00AA55F1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</w:t>
      </w:r>
      <w:r w:rsidR="00AA55F1" w:rsidRPr="00AA55F1">
        <w:rPr>
          <w:rFonts w:asciiTheme="majorHAnsi" w:eastAsia="Calibri" w:hAnsiTheme="majorHAnsi" w:cstheme="majorHAnsi"/>
          <w:sz w:val="20"/>
          <w:szCs w:val="20"/>
        </w:rPr>
        <w:t>Najwyższ</w:t>
      </w:r>
      <w:r w:rsidR="00AA55F1">
        <w:rPr>
          <w:rFonts w:asciiTheme="majorHAnsi" w:eastAsia="Calibri" w:hAnsiTheme="majorHAnsi" w:cstheme="majorHAnsi"/>
          <w:sz w:val="20"/>
          <w:szCs w:val="20"/>
        </w:rPr>
        <w:t>a</w:t>
      </w:r>
      <w:r w:rsidR="00AA55F1" w:rsidRPr="00AA55F1">
        <w:rPr>
          <w:rFonts w:asciiTheme="majorHAnsi" w:eastAsia="Calibri" w:hAnsiTheme="majorHAnsi" w:cstheme="majorHAnsi"/>
          <w:sz w:val="20"/>
          <w:szCs w:val="20"/>
        </w:rPr>
        <w:t xml:space="preserve"> liczbę punktów za kryterium </w:t>
      </w:r>
      <w:r w:rsidR="00AA55F1">
        <w:rPr>
          <w:rFonts w:asciiTheme="majorHAnsi" w:eastAsia="Calibri" w:hAnsiTheme="majorHAnsi" w:cstheme="majorHAnsi"/>
          <w:sz w:val="20"/>
          <w:szCs w:val="20"/>
        </w:rPr>
        <w:t>„termin realizacji” to 30 punktów.</w:t>
      </w:r>
      <w:r w:rsidR="00FC76CD">
        <w:rPr>
          <w:rFonts w:asciiTheme="majorHAnsi" w:eastAsia="Calibri" w:hAnsiTheme="majorHAnsi" w:cstheme="majorHAnsi"/>
          <w:sz w:val="20"/>
          <w:szCs w:val="20"/>
        </w:rPr>
        <w:t xml:space="preserve"> Jednocześnie Zamawiający informuje, że dokonuje zmiany w tej części SWZ.</w:t>
      </w:r>
    </w:p>
    <w:p w14:paraId="3046414D" w14:textId="77777777" w:rsidR="008F0ACF" w:rsidRDefault="008F0ACF" w:rsidP="00F71542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</w:p>
    <w:p w14:paraId="5195EEA3" w14:textId="77777777" w:rsidR="008F0ACF" w:rsidRDefault="008F0ACF" w:rsidP="00F71542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</w:p>
    <w:p w14:paraId="51B41235" w14:textId="77777777" w:rsidR="008F0ACF" w:rsidRDefault="008F0ACF" w:rsidP="00F71542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</w:p>
    <w:p w14:paraId="7C9D28BA" w14:textId="7FF0BDF3" w:rsidR="00F71542" w:rsidRPr="007C02D9" w:rsidRDefault="00F71542" w:rsidP="00F71542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sz w:val="20"/>
          <w:szCs w:val="20"/>
          <w:lang w:eastAsia="pl-PL"/>
        </w:rPr>
        <w:t xml:space="preserve">Pytanie nr </w:t>
      </w:r>
      <w:r>
        <w:rPr>
          <w:rFonts w:eastAsia="Times New Roman" w:cstheme="minorHAnsi"/>
          <w:b/>
          <w:sz w:val="20"/>
          <w:szCs w:val="20"/>
          <w:lang w:eastAsia="pl-PL"/>
        </w:rPr>
        <w:t>5</w:t>
      </w:r>
    </w:p>
    <w:p w14:paraId="5FF9FB2D" w14:textId="77777777" w:rsidR="00F71542" w:rsidRDefault="00F71542" w:rsidP="00FC76CD">
      <w:pPr>
        <w:pStyle w:val="Tekstpodstawowy"/>
        <w:widowControl w:val="0"/>
        <w:suppressAutoHyphens w:val="0"/>
        <w:autoSpaceDE w:val="0"/>
        <w:autoSpaceDN w:val="0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F71542">
        <w:rPr>
          <w:rFonts w:asciiTheme="majorHAnsi" w:hAnsiTheme="majorHAnsi" w:cstheme="majorHAnsi"/>
          <w:sz w:val="20"/>
          <w:szCs w:val="20"/>
        </w:rPr>
        <w:t>Czy Zamawiający wyrazi zgodę na wydłużenie terminu wskazanego w § 4 ust. 6 na podjęcie czynności naprawy sprzętu do 5 dni roboczych, oraz zakończenia naprawy do 15 dni roboczych od daty zgłoszenia wady?</w:t>
      </w:r>
    </w:p>
    <w:p w14:paraId="6A442B67" w14:textId="77777777" w:rsidR="00F71542" w:rsidRPr="00E957FF" w:rsidRDefault="00F71542" w:rsidP="00F71542">
      <w:pPr>
        <w:pStyle w:val="Tekstpodstawowy"/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77DE057" w14:textId="1C7C20E6" w:rsidR="00F71542" w:rsidRPr="00E957FF" w:rsidRDefault="00F71542" w:rsidP="00F71542">
      <w:pPr>
        <w:spacing w:after="0" w:line="276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bCs/>
          <w:sz w:val="20"/>
          <w:szCs w:val="20"/>
          <w:lang w:eastAsia="pl-PL"/>
        </w:rPr>
        <w:t xml:space="preserve">Odpowiedź: </w:t>
      </w:r>
      <w:r w:rsidR="0005469D" w:rsidRPr="0005469D">
        <w:rPr>
          <w:rFonts w:eastAsia="Times New Roman" w:cstheme="minorHAnsi"/>
          <w:sz w:val="20"/>
          <w:szCs w:val="20"/>
          <w:lang w:eastAsia="pl-PL"/>
        </w:rPr>
        <w:t>Zamawiający dopuszcza wydłużenia terminów</w:t>
      </w:r>
      <w:r w:rsidR="0005469D">
        <w:rPr>
          <w:rFonts w:eastAsia="Times New Roman" w:cstheme="minorHAnsi"/>
          <w:sz w:val="20"/>
          <w:szCs w:val="20"/>
          <w:lang w:eastAsia="pl-PL"/>
        </w:rPr>
        <w:t xml:space="preserve"> podjęcia czynności naprawy do 5 dni oraz zakończenia naprawy do 15 dni. </w:t>
      </w:r>
      <w:r w:rsidR="00E957FF">
        <w:rPr>
          <w:rFonts w:eastAsia="Times New Roman" w:cstheme="minorHAnsi"/>
          <w:sz w:val="20"/>
          <w:szCs w:val="20"/>
          <w:lang w:eastAsia="pl-PL"/>
        </w:rPr>
        <w:t xml:space="preserve">Jednocześnie dokonuje zmiany zapisu </w:t>
      </w:r>
      <w:r w:rsidR="00E957FF" w:rsidRPr="00E957FF">
        <w:rPr>
          <w:rFonts w:asciiTheme="majorHAnsi" w:eastAsia="Times New Roman" w:hAnsiTheme="majorHAnsi" w:cstheme="majorHAnsi"/>
          <w:sz w:val="20"/>
          <w:szCs w:val="20"/>
          <w:lang w:eastAsia="pl-PL"/>
        </w:rPr>
        <w:t>§ 4 ust. 6 PPU, który otrzymuje brzmienie:</w:t>
      </w:r>
    </w:p>
    <w:p w14:paraId="61732C5B" w14:textId="094FEF60" w:rsidR="00E957FF" w:rsidRPr="00E957FF" w:rsidRDefault="00E957FF" w:rsidP="00E957FF">
      <w:pPr>
        <w:spacing w:after="0" w:line="240" w:lineRule="auto"/>
        <w:jc w:val="both"/>
        <w:rPr>
          <w:rFonts w:asciiTheme="majorHAnsi" w:eastAsia="Times New Roman" w:hAnsiTheme="majorHAnsi" w:cstheme="majorHAnsi"/>
          <w:sz w:val="20"/>
          <w:szCs w:val="20"/>
          <w:lang w:eastAsia="pl-PL"/>
        </w:rPr>
      </w:pPr>
      <w:r w:rsidRPr="00E957FF">
        <w:rPr>
          <w:rFonts w:asciiTheme="majorHAnsi" w:eastAsia="SimSun" w:hAnsiTheme="majorHAnsi" w:cstheme="majorHAnsi"/>
          <w:kern w:val="2"/>
          <w:sz w:val="20"/>
          <w:szCs w:val="20"/>
          <w:lang w:eastAsia="zh-CN" w:bidi="hi-IN"/>
        </w:rPr>
        <w:t>„</w:t>
      </w:r>
      <w:r w:rsidRPr="00E957FF">
        <w:rPr>
          <w:rFonts w:asciiTheme="majorHAnsi" w:eastAsia="SimSun" w:hAnsiTheme="majorHAnsi" w:cstheme="majorHAnsi"/>
          <w:kern w:val="2"/>
          <w:sz w:val="20"/>
          <w:szCs w:val="20"/>
          <w:lang w:eastAsia="zh-CN" w:bidi="hi-IN"/>
        </w:rPr>
        <w:t xml:space="preserve">Jeżeli w okresie gwarancji ujawnią się wady lub dojdzie do usterki przedmiotu dostawy, Wykonawca zobowiązuje się do podjęcia czynności jego naprawy w czasie nie dłuższym niż </w:t>
      </w:r>
      <w:r w:rsidRPr="00E957FF">
        <w:rPr>
          <w:rFonts w:asciiTheme="majorHAnsi" w:eastAsia="SimSun" w:hAnsiTheme="majorHAnsi" w:cstheme="majorHAnsi"/>
          <w:kern w:val="2"/>
          <w:sz w:val="20"/>
          <w:szCs w:val="20"/>
          <w:lang w:eastAsia="zh-CN" w:bidi="hi-IN"/>
        </w:rPr>
        <w:t>5</w:t>
      </w:r>
      <w:r w:rsidRPr="00E957FF">
        <w:rPr>
          <w:rFonts w:asciiTheme="majorHAnsi" w:eastAsia="SimSun" w:hAnsiTheme="majorHAnsi" w:cstheme="majorHAnsi"/>
          <w:kern w:val="2"/>
          <w:sz w:val="20"/>
          <w:szCs w:val="20"/>
          <w:lang w:eastAsia="zh-CN" w:bidi="hi-IN"/>
        </w:rPr>
        <w:t xml:space="preserve"> dni od chwili zgłoszenia wady mailem na adres: ……………………………… i zakończenia naprawy w terminie nie dłuższym niż 1</w:t>
      </w:r>
      <w:r w:rsidRPr="00E957FF">
        <w:rPr>
          <w:rFonts w:asciiTheme="majorHAnsi" w:eastAsia="SimSun" w:hAnsiTheme="majorHAnsi" w:cstheme="majorHAnsi"/>
          <w:kern w:val="2"/>
          <w:sz w:val="20"/>
          <w:szCs w:val="20"/>
          <w:lang w:eastAsia="zh-CN" w:bidi="hi-IN"/>
        </w:rPr>
        <w:t>5</w:t>
      </w:r>
      <w:r w:rsidRPr="00E957FF">
        <w:rPr>
          <w:rFonts w:asciiTheme="majorHAnsi" w:eastAsia="SimSun" w:hAnsiTheme="majorHAnsi" w:cstheme="majorHAnsi"/>
          <w:kern w:val="2"/>
          <w:sz w:val="20"/>
          <w:szCs w:val="20"/>
          <w:lang w:eastAsia="zh-CN" w:bidi="hi-IN"/>
        </w:rPr>
        <w:t xml:space="preserve"> dni roboczych od daty zgłoszenia wady</w:t>
      </w:r>
      <w:r w:rsidRPr="00E957FF">
        <w:rPr>
          <w:rFonts w:asciiTheme="majorHAnsi" w:eastAsia="SimSun" w:hAnsiTheme="majorHAnsi" w:cstheme="majorHAnsi"/>
          <w:kern w:val="2"/>
          <w:sz w:val="20"/>
          <w:szCs w:val="20"/>
          <w:lang w:eastAsia="zh-CN" w:bidi="hi-IN"/>
        </w:rPr>
        <w:t>”</w:t>
      </w:r>
      <w:r w:rsidRPr="00E957FF">
        <w:rPr>
          <w:rFonts w:asciiTheme="majorHAnsi" w:eastAsia="SimSun" w:hAnsiTheme="majorHAnsi" w:cstheme="majorHAnsi"/>
          <w:kern w:val="2"/>
          <w:sz w:val="20"/>
          <w:szCs w:val="20"/>
          <w:lang w:eastAsia="zh-CN" w:bidi="hi-IN"/>
        </w:rPr>
        <w:t>.</w:t>
      </w:r>
    </w:p>
    <w:p w14:paraId="09083622" w14:textId="77777777" w:rsidR="00F71542" w:rsidRPr="0005469D" w:rsidRDefault="00F71542" w:rsidP="00494C1F">
      <w:pPr>
        <w:spacing w:after="0" w:line="276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02B623A6" w14:textId="40819795" w:rsidR="00F71542" w:rsidRPr="007C02D9" w:rsidRDefault="00F71542" w:rsidP="00F71542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sz w:val="20"/>
          <w:szCs w:val="20"/>
          <w:lang w:eastAsia="pl-PL"/>
        </w:rPr>
        <w:t xml:space="preserve">Pytanie nr </w:t>
      </w:r>
      <w:r>
        <w:rPr>
          <w:rFonts w:eastAsia="Times New Roman" w:cstheme="minorHAnsi"/>
          <w:b/>
          <w:sz w:val="20"/>
          <w:szCs w:val="20"/>
          <w:lang w:eastAsia="pl-PL"/>
        </w:rPr>
        <w:t>6</w:t>
      </w:r>
    </w:p>
    <w:p w14:paraId="2E324157" w14:textId="1FA6376C" w:rsidR="00F71542" w:rsidRDefault="00F71542" w:rsidP="0005469D">
      <w:pPr>
        <w:pStyle w:val="Tekstpodstawowy"/>
        <w:widowControl w:val="0"/>
        <w:suppressAutoHyphens w:val="0"/>
        <w:autoSpaceDE w:val="0"/>
        <w:autoSpaceDN w:val="0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F71542">
        <w:rPr>
          <w:rFonts w:asciiTheme="majorHAnsi" w:hAnsiTheme="majorHAnsi" w:cstheme="majorHAnsi"/>
          <w:sz w:val="20"/>
          <w:szCs w:val="20"/>
        </w:rPr>
        <w:t>Czy Zamawiający zrezygnuje z zapisu wskazanego w § 4 ust. 8? Nie każda wada wyrobu ma charakter istotny, który powoduje wyłączenie sprzętu z użytkowania.</w:t>
      </w:r>
    </w:p>
    <w:p w14:paraId="59F4C244" w14:textId="77777777" w:rsidR="0005469D" w:rsidRPr="00E957FF" w:rsidRDefault="0005469D" w:rsidP="0005469D">
      <w:pPr>
        <w:pStyle w:val="Tekstpodstawowy"/>
        <w:widowControl w:val="0"/>
        <w:suppressAutoHyphens w:val="0"/>
        <w:autoSpaceDE w:val="0"/>
        <w:autoSpaceDN w:val="0"/>
        <w:spacing w:after="0" w:line="276" w:lineRule="auto"/>
        <w:jc w:val="both"/>
        <w:rPr>
          <w:rFonts w:asciiTheme="majorHAnsi" w:hAnsiTheme="majorHAnsi" w:cstheme="majorHAnsi"/>
          <w:sz w:val="16"/>
          <w:szCs w:val="16"/>
        </w:rPr>
      </w:pPr>
    </w:p>
    <w:p w14:paraId="28329EA6" w14:textId="6B2904B3" w:rsidR="00F71542" w:rsidRDefault="00F71542" w:rsidP="00F71542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bCs/>
          <w:sz w:val="20"/>
          <w:szCs w:val="20"/>
          <w:lang w:eastAsia="pl-PL"/>
        </w:rPr>
        <w:t xml:space="preserve">Odpowiedź: </w:t>
      </w:r>
      <w:r w:rsidR="00E159A8" w:rsidRPr="00E159A8">
        <w:rPr>
          <w:rFonts w:eastAsia="Times New Roman" w:cstheme="minorHAnsi"/>
          <w:sz w:val="20"/>
          <w:szCs w:val="20"/>
          <w:lang w:eastAsia="pl-PL"/>
        </w:rPr>
        <w:t>Zamawiający nie</w:t>
      </w:r>
      <w:r w:rsidR="0005469D">
        <w:rPr>
          <w:rFonts w:eastAsia="Times New Roman" w:cstheme="minorHAnsi"/>
          <w:sz w:val="20"/>
          <w:szCs w:val="20"/>
          <w:lang w:eastAsia="pl-PL"/>
        </w:rPr>
        <w:t xml:space="preserve"> dopuszcza i pozostaje przy rozwiązaniach opisanych w SWZ. </w:t>
      </w:r>
      <w:r w:rsidR="00E159A8">
        <w:rPr>
          <w:rFonts w:eastAsia="Times New Roman" w:cstheme="minorHAnsi"/>
          <w:sz w:val="20"/>
          <w:szCs w:val="20"/>
          <w:lang w:eastAsia="pl-PL"/>
        </w:rPr>
        <w:t xml:space="preserve"> </w:t>
      </w:r>
    </w:p>
    <w:p w14:paraId="28C9312D" w14:textId="77777777" w:rsidR="00F71542" w:rsidRPr="00E957FF" w:rsidRDefault="00F71542" w:rsidP="00F71542">
      <w:pPr>
        <w:spacing w:after="0" w:line="276" w:lineRule="auto"/>
        <w:jc w:val="both"/>
        <w:rPr>
          <w:rFonts w:eastAsia="Times New Roman" w:cstheme="minorHAnsi"/>
          <w:b/>
          <w:bCs/>
          <w:sz w:val="16"/>
          <w:szCs w:val="16"/>
          <w:lang w:eastAsia="pl-PL"/>
        </w:rPr>
      </w:pPr>
    </w:p>
    <w:p w14:paraId="0E6733EB" w14:textId="5E2C46A0" w:rsidR="00F71542" w:rsidRPr="007C02D9" w:rsidRDefault="00F71542" w:rsidP="00F71542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sz w:val="20"/>
          <w:szCs w:val="20"/>
          <w:lang w:eastAsia="pl-PL"/>
        </w:rPr>
        <w:t xml:space="preserve">Pytanie nr </w:t>
      </w:r>
      <w:r>
        <w:rPr>
          <w:rFonts w:eastAsia="Times New Roman" w:cstheme="minorHAnsi"/>
          <w:b/>
          <w:sz w:val="20"/>
          <w:szCs w:val="20"/>
          <w:lang w:eastAsia="pl-PL"/>
        </w:rPr>
        <w:t>7</w:t>
      </w:r>
    </w:p>
    <w:p w14:paraId="5199E988" w14:textId="35BFAD55" w:rsidR="00F71542" w:rsidRDefault="00F71542" w:rsidP="00E159A8">
      <w:pPr>
        <w:pStyle w:val="Tekstpodstawowy"/>
        <w:widowControl w:val="0"/>
        <w:suppressAutoHyphens w:val="0"/>
        <w:autoSpaceDE w:val="0"/>
        <w:autoSpaceDN w:val="0"/>
        <w:spacing w:after="0" w:line="276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F71542">
        <w:rPr>
          <w:rFonts w:asciiTheme="majorHAnsi" w:hAnsiTheme="majorHAnsi" w:cstheme="majorHAnsi"/>
          <w:sz w:val="20"/>
          <w:szCs w:val="20"/>
        </w:rPr>
        <w:t>Czy Zamawiający wyrazi zgodę na zmniejszenie wysokości kar umownych zawartych w § 6 ust. 1 pkt b do 0,5% za każdy rozpoczęty dzień zwłoki?</w:t>
      </w:r>
    </w:p>
    <w:p w14:paraId="4CDDE88A" w14:textId="77777777" w:rsidR="00F71542" w:rsidRPr="00E957FF" w:rsidRDefault="00F71542" w:rsidP="00F71542">
      <w:pPr>
        <w:pStyle w:val="Tekstpodstawowy"/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EE937A9" w14:textId="67F53494" w:rsidR="00F71542" w:rsidRDefault="00F71542" w:rsidP="00F71542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bCs/>
          <w:sz w:val="20"/>
          <w:szCs w:val="20"/>
          <w:lang w:eastAsia="pl-PL"/>
        </w:rPr>
        <w:t xml:space="preserve">Odpowiedź: </w:t>
      </w:r>
      <w:r w:rsidR="00E159A8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</w:t>
      </w:r>
      <w:r w:rsidR="00E159A8" w:rsidRPr="00E159A8">
        <w:rPr>
          <w:rFonts w:eastAsia="Times New Roman" w:cstheme="minorHAnsi"/>
          <w:sz w:val="20"/>
          <w:szCs w:val="20"/>
          <w:lang w:eastAsia="pl-PL"/>
        </w:rPr>
        <w:t>Zamawiający nie zmienia zapisów PPU – załącznik nr 4 do SWZ.</w:t>
      </w:r>
      <w:r w:rsidR="00E159A8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</w:t>
      </w:r>
    </w:p>
    <w:p w14:paraId="0E5DF559" w14:textId="77777777" w:rsidR="00F71542" w:rsidRPr="00E957FF" w:rsidRDefault="00F71542" w:rsidP="00F71542">
      <w:pPr>
        <w:spacing w:after="0" w:line="276" w:lineRule="auto"/>
        <w:jc w:val="both"/>
        <w:rPr>
          <w:rFonts w:eastAsia="Times New Roman" w:cstheme="minorHAnsi"/>
          <w:b/>
          <w:bCs/>
          <w:sz w:val="16"/>
          <w:szCs w:val="16"/>
          <w:lang w:eastAsia="pl-PL"/>
        </w:rPr>
      </w:pPr>
    </w:p>
    <w:p w14:paraId="459A0231" w14:textId="47914AFA" w:rsidR="00F71542" w:rsidRPr="007C02D9" w:rsidRDefault="00F71542" w:rsidP="00F71542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sz w:val="20"/>
          <w:szCs w:val="20"/>
          <w:lang w:eastAsia="pl-PL"/>
        </w:rPr>
        <w:t xml:space="preserve">Pytanie nr </w:t>
      </w:r>
      <w:r>
        <w:rPr>
          <w:rFonts w:eastAsia="Times New Roman" w:cstheme="minorHAnsi"/>
          <w:b/>
          <w:sz w:val="20"/>
          <w:szCs w:val="20"/>
          <w:lang w:eastAsia="pl-PL"/>
        </w:rPr>
        <w:t>8</w:t>
      </w:r>
    </w:p>
    <w:p w14:paraId="74435E02" w14:textId="0B6A858A" w:rsidR="00F71542" w:rsidRPr="001E39EF" w:rsidRDefault="00F71542" w:rsidP="00F71542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1E39EF">
        <w:rPr>
          <w:b/>
          <w:bCs/>
          <w:sz w:val="20"/>
          <w:szCs w:val="20"/>
        </w:rPr>
        <w:t>Łóżko intensywnej terapii typ A:</w:t>
      </w:r>
      <w:r w:rsidRPr="001E39EF">
        <w:rPr>
          <w:sz w:val="20"/>
          <w:szCs w:val="20"/>
        </w:rPr>
        <w:t xml:space="preserve"> Czy Zamawiający dopuści do zaoferowania łóżko z możliwością przywrócenia wszystkich funkcji tylko w pilocie? Łóżko wyposażone w panel centralny oraz pilot przewodowy, brak panelu sterującego wbudowanego w barierki?</w:t>
      </w:r>
    </w:p>
    <w:p w14:paraId="636BBAA0" w14:textId="77777777" w:rsidR="00F71542" w:rsidRPr="00E957FF" w:rsidRDefault="00F71542" w:rsidP="00F71542">
      <w:pPr>
        <w:pStyle w:val="Tekstpodstawowy"/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Theme="majorHAnsi" w:hAnsiTheme="majorHAnsi" w:cstheme="majorHAnsi"/>
          <w:sz w:val="16"/>
          <w:szCs w:val="16"/>
        </w:rPr>
      </w:pPr>
    </w:p>
    <w:p w14:paraId="782ED66A" w14:textId="0FF797C0" w:rsidR="00F71542" w:rsidRDefault="00F71542" w:rsidP="00F71542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bCs/>
          <w:sz w:val="20"/>
          <w:szCs w:val="20"/>
          <w:lang w:eastAsia="pl-PL"/>
        </w:rPr>
        <w:t xml:space="preserve">Odpowiedź: </w:t>
      </w:r>
      <w:r w:rsidR="0005469D" w:rsidRPr="00FC76CD">
        <w:rPr>
          <w:rFonts w:eastAsia="Times New Roman" w:cstheme="minorHAnsi"/>
          <w:sz w:val="20"/>
          <w:szCs w:val="20"/>
          <w:lang w:eastAsia="pl-PL"/>
        </w:rPr>
        <w:t>Zamawiający dopuści powyższe obok rozwiązania opisanego w SWZ, jednak wymaga odnotowania tego faktu w postaci * i przypisu.</w:t>
      </w:r>
    </w:p>
    <w:p w14:paraId="51B96DA1" w14:textId="77777777" w:rsidR="00F71542" w:rsidRPr="00E957FF" w:rsidRDefault="00F71542" w:rsidP="00F71542">
      <w:pPr>
        <w:pStyle w:val="Tekstpodstawowy"/>
        <w:widowControl w:val="0"/>
        <w:suppressAutoHyphens w:val="0"/>
        <w:autoSpaceDE w:val="0"/>
        <w:autoSpaceDN w:val="0"/>
        <w:spacing w:after="0" w:line="360" w:lineRule="auto"/>
        <w:jc w:val="both"/>
        <w:rPr>
          <w:rFonts w:asciiTheme="majorHAnsi" w:hAnsiTheme="majorHAnsi" w:cstheme="majorHAnsi"/>
          <w:b/>
          <w:sz w:val="10"/>
          <w:szCs w:val="10"/>
        </w:rPr>
      </w:pPr>
    </w:p>
    <w:p w14:paraId="389CEE8D" w14:textId="6240085D" w:rsidR="001E39EF" w:rsidRPr="007C02D9" w:rsidRDefault="001E39EF" w:rsidP="001E39EF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sz w:val="20"/>
          <w:szCs w:val="20"/>
          <w:lang w:eastAsia="pl-PL"/>
        </w:rPr>
        <w:t xml:space="preserve">Pytanie nr </w:t>
      </w:r>
      <w:r>
        <w:rPr>
          <w:rFonts w:eastAsia="Times New Roman" w:cstheme="minorHAnsi"/>
          <w:b/>
          <w:sz w:val="20"/>
          <w:szCs w:val="20"/>
          <w:lang w:eastAsia="pl-PL"/>
        </w:rPr>
        <w:t>9</w:t>
      </w:r>
    </w:p>
    <w:p w14:paraId="07632CB0" w14:textId="408C4B30" w:rsidR="00F71542" w:rsidRDefault="001E39EF" w:rsidP="00494C1F">
      <w:pPr>
        <w:spacing w:after="0" w:line="276" w:lineRule="auto"/>
        <w:jc w:val="both"/>
        <w:rPr>
          <w:sz w:val="20"/>
          <w:szCs w:val="20"/>
        </w:rPr>
      </w:pPr>
      <w:r w:rsidRPr="001E39EF">
        <w:rPr>
          <w:sz w:val="20"/>
          <w:szCs w:val="20"/>
        </w:rPr>
        <w:t>Czy Zamawiający dopuści do zaoferowania łóżko z możliwością przywrócenia wszystkich funkcji tylko w pilocie? Łóżko wyposażone w panel centralny oraz pilot przewodowy, brak panelu sterującego wbudowanego w barierki?</w:t>
      </w:r>
    </w:p>
    <w:p w14:paraId="5D3C1ACA" w14:textId="77777777" w:rsidR="001E39EF" w:rsidRPr="00E957FF" w:rsidRDefault="001E39EF" w:rsidP="00494C1F">
      <w:pPr>
        <w:spacing w:after="0" w:line="276" w:lineRule="auto"/>
        <w:jc w:val="both"/>
        <w:rPr>
          <w:sz w:val="16"/>
          <w:szCs w:val="16"/>
        </w:rPr>
      </w:pPr>
    </w:p>
    <w:p w14:paraId="7199E530" w14:textId="288560D1" w:rsidR="001E39EF" w:rsidRDefault="001E39EF" w:rsidP="001E39EF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bCs/>
          <w:sz w:val="20"/>
          <w:szCs w:val="20"/>
          <w:lang w:eastAsia="pl-PL"/>
        </w:rPr>
        <w:t xml:space="preserve">Odpowiedź: </w:t>
      </w:r>
      <w:r w:rsidR="0005469D" w:rsidRPr="00FC76CD">
        <w:rPr>
          <w:rFonts w:eastAsia="Times New Roman" w:cstheme="minorHAnsi"/>
          <w:sz w:val="20"/>
          <w:szCs w:val="20"/>
          <w:lang w:eastAsia="pl-PL"/>
        </w:rPr>
        <w:t xml:space="preserve">Zamawiający dopuści powyższe obok rozwiązania opisanego w SWZ, jednak wymaga odnotowania </w:t>
      </w:r>
      <w:r w:rsidR="0005469D" w:rsidRPr="00E957FF">
        <w:rPr>
          <w:rFonts w:eastAsia="Times New Roman" w:cstheme="minorHAnsi"/>
          <w:sz w:val="16"/>
          <w:szCs w:val="16"/>
          <w:lang w:eastAsia="pl-PL"/>
        </w:rPr>
        <w:t>tego</w:t>
      </w:r>
      <w:r w:rsidR="0005469D" w:rsidRPr="00FC76CD">
        <w:rPr>
          <w:rFonts w:eastAsia="Times New Roman" w:cstheme="minorHAnsi"/>
          <w:sz w:val="20"/>
          <w:szCs w:val="20"/>
          <w:lang w:eastAsia="pl-PL"/>
        </w:rPr>
        <w:t xml:space="preserve"> faktu w postaci * i przypisu.</w:t>
      </w:r>
    </w:p>
    <w:p w14:paraId="1CCAFE11" w14:textId="77777777" w:rsidR="00E957FF" w:rsidRPr="00E957FF" w:rsidRDefault="00E957FF" w:rsidP="001E39EF">
      <w:pPr>
        <w:spacing w:after="0" w:line="276" w:lineRule="auto"/>
        <w:jc w:val="both"/>
        <w:rPr>
          <w:rFonts w:eastAsia="Times New Roman" w:cstheme="minorHAnsi"/>
          <w:b/>
          <w:bCs/>
          <w:sz w:val="10"/>
          <w:szCs w:val="10"/>
          <w:lang w:eastAsia="pl-PL"/>
        </w:rPr>
      </w:pPr>
    </w:p>
    <w:p w14:paraId="5EB57016" w14:textId="6F103328" w:rsidR="001E39EF" w:rsidRDefault="001E39EF" w:rsidP="00494C1F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sz w:val="20"/>
          <w:szCs w:val="20"/>
          <w:lang w:eastAsia="pl-PL"/>
        </w:rPr>
        <w:t xml:space="preserve">Pytanie nr </w:t>
      </w:r>
      <w:r>
        <w:rPr>
          <w:rFonts w:eastAsia="Times New Roman" w:cstheme="minorHAnsi"/>
          <w:b/>
          <w:sz w:val="20"/>
          <w:szCs w:val="20"/>
          <w:lang w:eastAsia="pl-PL"/>
        </w:rPr>
        <w:t>10</w:t>
      </w:r>
    </w:p>
    <w:p w14:paraId="69756809" w14:textId="58250EF7" w:rsidR="008F0ACF" w:rsidRPr="001E39EF" w:rsidRDefault="001E39EF" w:rsidP="001E39EF">
      <w:pPr>
        <w:spacing w:after="0"/>
        <w:jc w:val="both"/>
        <w:rPr>
          <w:rFonts w:asciiTheme="majorHAnsi" w:eastAsia="Aptos" w:hAnsiTheme="majorHAnsi" w:cstheme="majorHAnsi"/>
          <w:b/>
          <w:bCs/>
          <w:kern w:val="2"/>
          <w:sz w:val="20"/>
          <w:szCs w:val="20"/>
          <w14:ligatures w14:val="standardContextual"/>
        </w:rPr>
      </w:pPr>
      <w:r w:rsidRPr="001E39EF">
        <w:rPr>
          <w:rFonts w:asciiTheme="majorHAnsi" w:eastAsia="Aptos" w:hAnsiTheme="majorHAnsi" w:cstheme="majorHAnsi"/>
          <w:b/>
          <w:bCs/>
          <w:kern w:val="2"/>
          <w:sz w:val="20"/>
          <w:szCs w:val="20"/>
          <w14:ligatures w14:val="standardContextual"/>
        </w:rPr>
        <w:t>Dotyczy: Pozycja 2: Łóżko intensywnej terapii typ A – 5szt:</w:t>
      </w:r>
    </w:p>
    <w:p w14:paraId="2E250ED3" w14:textId="27439927" w:rsidR="001E39EF" w:rsidRDefault="001E39EF" w:rsidP="001E39EF">
      <w:pPr>
        <w:spacing w:after="0"/>
        <w:jc w:val="both"/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1E39E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Czy Zamawiający dopuści łóżka szpitalne fabrycznie nowe, nie powystawowe, </w:t>
      </w:r>
      <w:proofErr w:type="spellStart"/>
      <w:r w:rsidRPr="001E39E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nierekondycjonowane</w:t>
      </w:r>
      <w:proofErr w:type="spellEnd"/>
      <w:r w:rsidRPr="001E39E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 wyprodukowane nie wcześniej niż w 2023 roku?</w:t>
      </w:r>
    </w:p>
    <w:p w14:paraId="6508FEE2" w14:textId="5AE44022" w:rsidR="008F0ACF" w:rsidRDefault="008F0ACF" w:rsidP="008F0ACF">
      <w:pPr>
        <w:jc w:val="both"/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1E39E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Czy Zamawiający dopuści łóżko o parametrach lepszych opisany poniżej, nie odbiegający funkcjonalnością od opisanego w celu poszerzenia oferty?</w:t>
      </w:r>
    </w:p>
    <w:p w14:paraId="24460577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Szczyty odejmowane, tworzywowe lekkie stanowiące jedną zwartą bryłę z kolorową wstawką z tworzywa, bez dodatkowych widocznych rur lub innych elementów mocujących dokręcanych do szczytu. Szczyty łóżka z możliwością zablokowania przed przypadkowym wypadnięciem np. podczas transportu, odblokowywane za pomocą jednego przycisku zlokalizowanego centralnie w dolnej części szczytu. Szczyty łóżka z wyprofilowanymi uchwytami do prowadzenia łóżka umieszczone od góry oraz z boku szczytu. </w:t>
      </w:r>
    </w:p>
    <w:p w14:paraId="6B5638FE" w14:textId="77777777" w:rsid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</w:p>
    <w:p w14:paraId="46CE0560" w14:textId="77777777" w:rsid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</w:p>
    <w:p w14:paraId="2D4C6CE4" w14:textId="3DBB487B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Szczyt łóżka od strony głowy nie poruszający się wraz z leżem, będący zamocowany na stałe – rozwiązanie zabezpieczające przed niszczeniem ścian, paneli </w:t>
      </w:r>
      <w:proofErr w:type="spellStart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nadłóżkowych</w:t>
      </w:r>
      <w:proofErr w:type="spellEnd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 przy regulacji funkcji </w:t>
      </w:r>
      <w:proofErr w:type="spellStart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, regulacji wysokości leża </w:t>
      </w:r>
    </w:p>
    <w:p w14:paraId="67FA2551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Barierki dzielone, tworzywowe poruszające  się z segmentami leża będące zabezpieczeniem na całej długości łóżka to znaczy od szczytu głowy aż do szczytu nóg  pacjenta leżącego oraz w pozycji siedzącej.</w:t>
      </w:r>
    </w:p>
    <w:p w14:paraId="02768100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Barierki boczne łatwe do obsługi przez personel medyczny zwalniane za pomocą jednej ręki  wyposażone w system spowalniający opadanie  wspomagany  sprężyną gazową  </w:t>
      </w:r>
    </w:p>
    <w:p w14:paraId="173F980C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Barierki boczne z wyprofilowanymi uchwytami mogącymi służyć jako podparcie dla pacjenta podczas wstawania </w:t>
      </w:r>
    </w:p>
    <w:p w14:paraId="7DB8BCEE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Barierki boczne ze zintegrowanymi uchwytami na worki urologiczne zapewniające  dostęp niezależnie od położenia barierek bocznych  </w:t>
      </w:r>
    </w:p>
    <w:p w14:paraId="3334ECA0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:vertAlign w:val="superscript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Barierki boczne wyposażone w wbudowany, zintegrowany  wskaźnik kątowy z wykorzystaniem cieczy z wyraźnym zaznaczeniem kąta 30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, 60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 dla segmentu pleców oraz wskaźnik pochylenia leża z zaznaczeniem kąta 16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 i 20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</w:p>
    <w:p w14:paraId="10667AD6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Barierki boczne wyposażone w wbudowany  podświetlany wskaźnik kątowy z wykorzystaniem cieczy, z wyraźnie zaznaczoną pozycją 30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 dla segmentu pleców informujący poprzez zmianę koloru podświetlenia o: </w:t>
      </w:r>
    </w:p>
    <w:p w14:paraId="46832CDF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- trybie czuwania </w:t>
      </w:r>
    </w:p>
    <w:p w14:paraId="315D4BA4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- trybie gotowości do użycia</w:t>
      </w:r>
    </w:p>
    <w:p w14:paraId="632BAA3E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- najniższej pozycji leża</w:t>
      </w:r>
    </w:p>
    <w:p w14:paraId="1D2EFA4C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Leże łóżka  4 – sekcyjne o nowoczesnej konstrukcji opartej na dwóch szczelnych kolumnach cylindrycznych </w:t>
      </w:r>
    </w:p>
    <w:p w14:paraId="2E44ED0F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Leże wypełnione pięcioma odczepianymi poprzecznymi tworzywowymi panelami (Polipropylen), z systemem zatrzaskiwania. Panele wyposażone w otwory wentylacyjne oraz system odprowadzania płynów pod łóżko. panele z tworzywa przezierne dla promieni RTG. </w:t>
      </w:r>
    </w:p>
    <w:p w14:paraId="25471BD0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Koła z systemem sterowania jazdy na wprost i z centralnym systemem hamulcowym. System obsługiwany dźwigniami od strony nóg pacjenta, zlokalizowanymi bezpośrednio przy kołach. </w:t>
      </w:r>
    </w:p>
    <w:p w14:paraId="3402B95A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Pojedyncze koła jezdne o średnicy 150 mm gwarantujące doskonałą mobilność łóżka</w:t>
      </w:r>
    </w:p>
    <w:p w14:paraId="678D93C6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sterowanie elektryczne łóżka przy pomocy:</w:t>
      </w:r>
    </w:p>
    <w:p w14:paraId="3D6B0A37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•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ab/>
        <w:t xml:space="preserve">Zintegrowanych przycisków w górnych barierkach bocznych łóżka od strony wewnętrznej dla pacjenta oraz zewnętrznej dla personelu (z obu stron), wyposażone w przycisk aktywujący sterowanie, regulacje: wysokość, kąt nachylenia pleców i uda oraz </w:t>
      </w:r>
      <w:proofErr w:type="spellStart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autokontur</w:t>
      </w:r>
      <w:proofErr w:type="spellEnd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, </w:t>
      </w:r>
    </w:p>
    <w:p w14:paraId="4E73C06A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•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ab/>
        <w:t xml:space="preserve">Centralny panel sterowania wszystkimi funkcjami elektrycznymi montowany na szczycie od strony nóg. Panel wyposażony w  3 pola odróżniające się kolorystycznie oraz kilkucentymetrowe piktogramy po kilka w każdym polu – rozwiązanie ułatwiające szybkie odnalezienie wybranej regulacji bez ryzyka przypadkowego wyboru funkcji. </w:t>
      </w:r>
    </w:p>
    <w:p w14:paraId="49A97394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Zasilanie 230 V, 50 </w:t>
      </w:r>
      <w:proofErr w:type="spellStart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Hz</w:t>
      </w:r>
      <w:proofErr w:type="spellEnd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 z sygnalizacją włączenia do sieci w celu uniknięcia nieświadomego wyrwania kabla z gniazdka i uszkodzenia łóżka lub gniazdka. Kabel zasilający w przewodzie skręcanym rozciągliwym. Nie dopuszcza się przewodów prostych </w:t>
      </w:r>
    </w:p>
    <w:p w14:paraId="04C3E324" w14:textId="5119C86C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Wbudowany akumulator do zasilania podczas transportu ze wskaźnikiem stanu naładowania oraz wskaźnikiem informującym o konieczności wymiany baterii </w:t>
      </w:r>
    </w:p>
    <w:p w14:paraId="69ED7E8B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Długość zewnętrzna łóżka –  2233mm  z możliwością przedłużania leża o 32 cm</w:t>
      </w:r>
    </w:p>
    <w:p w14:paraId="388CD183" w14:textId="77777777" w:rsidR="00E957FF" w:rsidRDefault="00E957F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</w:p>
    <w:p w14:paraId="156AA5BB" w14:textId="77777777" w:rsidR="00E957FF" w:rsidRDefault="00E957F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</w:p>
    <w:p w14:paraId="571C899D" w14:textId="0D4E71A6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Szerokość zewnętrzna łóżka – 995 mm </w:t>
      </w:r>
    </w:p>
    <w:p w14:paraId="7CD8342F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Regulacja elektryczna wysokości leża, w zakresie 395 mm do 775 mm  gwarantująca bezpieczne opuszczanie łóżka i zapobiegająca „zeskakiwaniu” pacjenta z łóżka</w:t>
      </w:r>
    </w:p>
    <w:p w14:paraId="0D56DB59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Panel sterowniczy wyposażony w funkcję automatycznego zatrzymania oparcia pleców pod kątem 30 st. przy regulacji w dowolnym kierunku. Zatrzymanie pod kątem 30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 następuje przy regulacji segmentu pleców z dowolnego sterownika</w:t>
      </w:r>
    </w:p>
    <w:p w14:paraId="5829AAF0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:vertAlign w:val="superscript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Regulacja elektryczna części plecowej w zakresie  64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</w:p>
    <w:p w14:paraId="518FAF93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:vertAlign w:val="superscript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Regulacja elektryczna części nożnej w zakresie 32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</w:p>
    <w:p w14:paraId="104F73F2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Regulacja elektryczna funkcji </w:t>
      </w:r>
      <w:proofErr w:type="spellStart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autokontur</w:t>
      </w:r>
      <w:proofErr w:type="spellEnd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, sterowanie przy pomocy przycisków w barierkach  bocznych i z panelu sterowniczego montowanego na szczycie łóżka od strony nóg</w:t>
      </w:r>
    </w:p>
    <w:p w14:paraId="531FC0B6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Funkcja autoregresji o parametrze 11 cm niwelująca ryzyko powstawania odleżyn dzięki minimalizacji nacisku w odcinku krzyżowo-lędźwiowym a tym samym pełniąca funkcje profilaktyczną  przeciwko odleżynom stopnia 1-4</w:t>
      </w:r>
    </w:p>
    <w:p w14:paraId="0430EFFF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Regulacja elektryczna pozycji </w:t>
      </w:r>
      <w:proofErr w:type="spellStart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 16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 – sterowanie z panelu sterowniczego montowanego na szczycie łóżka od strony nóg</w:t>
      </w:r>
    </w:p>
    <w:p w14:paraId="6473B000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Regulacja elektryczna pozycji anty-</w:t>
      </w:r>
      <w:proofErr w:type="spellStart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  16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:vertAlign w:val="superscript"/>
          <w14:ligatures w14:val="standardContextual"/>
        </w:rPr>
        <w:t>0</w:t>
      </w: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 – sterowanie z panelu sterowniczego montowanego na szczycie łóżka od strony nóg. </w:t>
      </w:r>
    </w:p>
    <w:p w14:paraId="4533C9D7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Regulacja elektryczna do pozycji krzesła kardiologicznego – sterowanie przy pomocy jednego oznaczonego odpowiednim piktogramem przycisku na panelu sterowniczym montowanym na szczycie łóżka od strony nóg</w:t>
      </w:r>
    </w:p>
    <w:p w14:paraId="6ED30EC6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Elektryczna funkcja CPR z każdej pozycji do reanimacji – sterowanie przy pomocy jednego przycisku oznaczonego odpowiednim piktogramem na panelu sterowniczym montowanym na szczycie łóżka od strony nóg</w:t>
      </w:r>
    </w:p>
    <w:p w14:paraId="31EAC1AF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Elektryczna funkcja </w:t>
      </w:r>
      <w:proofErr w:type="spellStart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antyszokowa</w:t>
      </w:r>
      <w:proofErr w:type="spellEnd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  z każdej pozycji– sterowanie przy pomocy jednego przycisku oznaczonego odpowiednim piktogramem na panelu sterowniczym montowanym na szczycie łóżka od strony nóg. Przycisk oznaczony innym kolorem niż pozycja </w:t>
      </w:r>
      <w:proofErr w:type="spellStart"/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Trendelenburga</w:t>
      </w:r>
      <w:proofErr w:type="spellEnd"/>
    </w:p>
    <w:p w14:paraId="161524E1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Elektryczna regulacja pozycji egzaminacyjnej   – sterowanie przy pomocy jednego przycisku oznaczonego odpowiednim piktogramem na panelu sterowniczym montowanym na szczycie łóżka od strony nóg</w:t>
      </w:r>
    </w:p>
    <w:p w14:paraId="44347819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Wyłączniki/blokady funkcji elektrycznych (na centralnym panelu sterowania) dla poszczególnych regulacji (selektywny wybór):</w:t>
      </w:r>
    </w:p>
    <w:p w14:paraId="2BF01EF1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- regulacji wysokości</w:t>
      </w:r>
    </w:p>
    <w:p w14:paraId="35DFBE72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- regulacji części plecowej </w:t>
      </w:r>
    </w:p>
    <w:p w14:paraId="6399EC69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- regulacji części nożnej </w:t>
      </w:r>
    </w:p>
    <w:p w14:paraId="230F5F8C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Kontrolki informujące o aktywnych, zablokowanych funkcjach łóżka </w:t>
      </w:r>
    </w:p>
    <w:p w14:paraId="1FD14AD0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Zabezpieczenie przed nieświadomym uruchomieniem funkcji poprzez konieczność wciśnięcia przycisku uruchamiającego dostępność funkcji – przycisk wyraźnie oznaczony na wszystkich sterownikach</w:t>
      </w:r>
    </w:p>
    <w:p w14:paraId="3B2FD5F2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Odłączenie wszelkich (za wyjątkiem funkcji ratujących życie) regulacji po 180 sekundach nieużywania regulacji (konieczność świadomego ponownego uruchomienia regulacji)</w:t>
      </w:r>
    </w:p>
    <w:p w14:paraId="3523DC11" w14:textId="77777777" w:rsid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Charakterystyczny jeden przycisk bezpieczeństwa (nie będący blokadą poszczególnych funkcji) powodujący  natychmiastowe odłączenie wszystkich (za wyjątkiem funkcji ratujących życie) funkcji elektrycznych w przypadku </w:t>
      </w:r>
    </w:p>
    <w:p w14:paraId="0BEABCD5" w14:textId="77777777" w:rsid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</w:p>
    <w:p w14:paraId="05BFC76F" w14:textId="77777777" w:rsid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</w:p>
    <w:p w14:paraId="352F6A39" w14:textId="475AE995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wystąpienia zagrożenia dla pacjenta lub personelu również odcinający funkcje w przypadku braku podłączenia do sieci – pracy na akumulatorze. </w:t>
      </w:r>
    </w:p>
    <w:p w14:paraId="770AE738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Łóżko posiadające wysuwaną spod leża półkę np. do odkładania pościeli lub schowania centralnego panelu sterowniczego  </w:t>
      </w:r>
    </w:p>
    <w:p w14:paraId="7855395D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Tworzywowa osłona podstawy łózka</w:t>
      </w:r>
    </w:p>
    <w:p w14:paraId="7886A5E2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Krążki odbojowe w każdym narożniku</w:t>
      </w:r>
    </w:p>
    <w:p w14:paraId="6096CE1A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4 gniazda/tuleje do montażu dodatkowego wyposażenia, np. wysięgnika ręki, ramy ortopedycznej.</w:t>
      </w:r>
    </w:p>
    <w:p w14:paraId="146DB728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Bezpieczne obciążenie robocze dla każdej pozycji leża i segmentów na poziomie 250kg. Pozwalające na wszystkie możliwe regulacje przy tym obciążeniu bez narażenia bezpieczeństwa pacjenta i powstanie incydentu medycznego</w:t>
      </w:r>
    </w:p>
    <w:p w14:paraId="501828BC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System elektrycznej ochrony przed uszkodzeniem łóżka w wyniku przeciążenia, polegający na wyłączeniu regulacji łóżka w przypadku przekroczonego obciążenia.</w:t>
      </w:r>
    </w:p>
    <w:p w14:paraId="49DF9EC5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System elektryczny łóżka wyposażony w pamięć ostatnich 1000 funkcji, przeciążeń oraz błędów </w:t>
      </w:r>
    </w:p>
    <w:p w14:paraId="22DAC9AE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Możliwość wyboru kolorystyki łóżka z zaproponowanego wzornika przez Wykonawcę –  5 kolorów  </w:t>
      </w:r>
    </w:p>
    <w:p w14:paraId="3E77D115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 xml:space="preserve">Wyposażenie łóżka: </w:t>
      </w:r>
    </w:p>
    <w:p w14:paraId="159CE74D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- barierki boczne opisane powyżej</w:t>
      </w:r>
    </w:p>
    <w:p w14:paraId="3F623230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- materac w pokrowcu paroprzepuszczalnym, nie przepuszczającym wody. Pokrowiec odpinany 180°. Zamek zabezpieczony przed wnikaniem płynów. Wysokość materaca 140mm. Materac posiadający nacięcia w okolicy uda dla lepszej dystrybucji ciężaru pacjenta. Łączenie pokrowca zszywane</w:t>
      </w:r>
    </w:p>
    <w:p w14:paraId="352C44A3" w14:textId="77777777" w:rsidR="008F0ACF" w:rsidRPr="008F0ACF" w:rsidRDefault="008F0ACF" w:rsidP="008F0ACF">
      <w:pPr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8F0ACF"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  <w:t>- Wysięgnik ręki z uchwytem</w:t>
      </w:r>
    </w:p>
    <w:p w14:paraId="0BB75F0D" w14:textId="19D54933" w:rsidR="008F0ACF" w:rsidRDefault="008F0ACF" w:rsidP="001E39EF">
      <w:pPr>
        <w:spacing w:after="0"/>
        <w:jc w:val="both"/>
        <w:rPr>
          <w:rFonts w:asciiTheme="majorHAnsi" w:eastAsia="Aptos" w:hAnsiTheme="majorHAnsi" w:cstheme="majorHAnsi"/>
          <w:kern w:val="2"/>
          <w:sz w:val="20"/>
          <w:szCs w:val="20"/>
          <w14:ligatures w14:val="standardContextual"/>
        </w:rPr>
      </w:pPr>
      <w:r w:rsidRPr="006A6FC5">
        <w:rPr>
          <w:rFonts w:ascii="Aptos" w:eastAsia="Aptos" w:hAnsi="Aptos" w:cs="Times New Roman"/>
          <w:noProof/>
          <w:kern w:val="2"/>
          <w14:ligatures w14:val="standardContextual"/>
        </w:rPr>
        <w:drawing>
          <wp:inline distT="0" distB="0" distL="0" distR="0" wp14:anchorId="2665DD88" wp14:editId="2CF06022">
            <wp:extent cx="4767580" cy="2700655"/>
            <wp:effectExtent l="0" t="0" r="0" b="4445"/>
            <wp:docPr id="870695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9292D" w14:textId="77777777" w:rsidR="001E39EF" w:rsidRPr="001E39EF" w:rsidRDefault="001E39EF" w:rsidP="001E39EF">
      <w:pPr>
        <w:spacing w:after="0"/>
        <w:jc w:val="both"/>
        <w:rPr>
          <w:rFonts w:asciiTheme="majorHAnsi" w:eastAsia="Aptos" w:hAnsiTheme="majorHAnsi" w:cstheme="majorHAnsi"/>
          <w:b/>
          <w:bCs/>
          <w:kern w:val="2"/>
          <w:sz w:val="20"/>
          <w:szCs w:val="20"/>
          <w14:ligatures w14:val="standardContextual"/>
        </w:rPr>
      </w:pPr>
    </w:p>
    <w:p w14:paraId="13621B55" w14:textId="1FDFF105" w:rsidR="001E39EF" w:rsidRDefault="001E39EF" w:rsidP="001E39EF">
      <w:p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7C02D9">
        <w:rPr>
          <w:rFonts w:eastAsia="Times New Roman" w:cstheme="minorHAnsi"/>
          <w:b/>
          <w:bCs/>
          <w:sz w:val="20"/>
          <w:szCs w:val="20"/>
          <w:lang w:eastAsia="pl-PL"/>
        </w:rPr>
        <w:t xml:space="preserve">Odpowiedź: </w:t>
      </w:r>
      <w:r w:rsidR="0005469D" w:rsidRPr="00FC76CD">
        <w:rPr>
          <w:rFonts w:eastAsia="Times New Roman" w:cstheme="minorHAnsi"/>
          <w:sz w:val="20"/>
          <w:szCs w:val="20"/>
          <w:lang w:eastAsia="pl-PL"/>
        </w:rPr>
        <w:t>Zamawiający dopuści powyższe obok rozwiązania opisanego w SWZ, jednak wymaga odnotowania tego faktu w postaci * i przypisu.</w:t>
      </w:r>
    </w:p>
    <w:p w14:paraId="78887692" w14:textId="77777777" w:rsidR="008F0ACF" w:rsidRDefault="008F0ACF" w:rsidP="001E39EF">
      <w:p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14:paraId="10C95AEE" w14:textId="77777777" w:rsidR="008F0ACF" w:rsidRDefault="008F0ACF" w:rsidP="001E39EF">
      <w:p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14:paraId="27A6BE81" w14:textId="77777777" w:rsidR="008F0ACF" w:rsidRDefault="008F0ACF" w:rsidP="001E39EF">
      <w:p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14:paraId="38962951" w14:textId="77777777" w:rsidR="008F0ACF" w:rsidRDefault="008F0ACF" w:rsidP="001E39EF">
      <w:pPr>
        <w:spacing w:after="0" w:line="276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p w14:paraId="08B649F5" w14:textId="77777777" w:rsidR="008F0ACF" w:rsidRDefault="008F0ACF" w:rsidP="001E39EF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6DFFAEA0" w14:textId="77777777" w:rsidR="001E39EF" w:rsidRDefault="001E39EF" w:rsidP="001E39EF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6BBA595F" w14:textId="77777777" w:rsidR="001E39EF" w:rsidRDefault="001E39EF" w:rsidP="001E39EF">
      <w:pPr>
        <w:spacing w:after="0" w:line="276" w:lineRule="auto"/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6204F9D1" w14:textId="16F759D7" w:rsidR="00AA55F1" w:rsidRPr="001E39EF" w:rsidRDefault="00AA55F1" w:rsidP="00494C1F">
      <w:pPr>
        <w:spacing w:after="0" w:line="276" w:lineRule="auto"/>
        <w:jc w:val="both"/>
        <w:rPr>
          <w:rFonts w:eastAsia="Times New Roman" w:cstheme="minorHAnsi"/>
          <w:b/>
          <w:sz w:val="20"/>
          <w:szCs w:val="20"/>
          <w:lang w:eastAsia="pl-PL"/>
        </w:rPr>
      </w:pPr>
    </w:p>
    <w:sectPr w:rsidR="00AA55F1" w:rsidRPr="001E39EF" w:rsidSect="008F6A2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42D088" w14:textId="77777777" w:rsidR="00657E5C" w:rsidRDefault="00657E5C" w:rsidP="007E3857">
      <w:pPr>
        <w:spacing w:after="0" w:line="240" w:lineRule="auto"/>
      </w:pPr>
      <w:r>
        <w:separator/>
      </w:r>
    </w:p>
  </w:endnote>
  <w:endnote w:type="continuationSeparator" w:id="0">
    <w:p w14:paraId="398628E0" w14:textId="77777777" w:rsidR="00657E5C" w:rsidRDefault="00657E5C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86207" w14:textId="77777777" w:rsidR="001F7C95" w:rsidRDefault="001F7C9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AC62" w14:textId="77777777" w:rsidR="001F7C95" w:rsidRDefault="001F7C9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8AC77" w14:textId="77777777" w:rsidR="001F7C95" w:rsidRDefault="001F7C9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DF966" w14:textId="77777777" w:rsidR="00657E5C" w:rsidRDefault="00657E5C" w:rsidP="007E3857">
      <w:pPr>
        <w:spacing w:after="0" w:line="240" w:lineRule="auto"/>
      </w:pPr>
      <w:r>
        <w:separator/>
      </w:r>
    </w:p>
  </w:footnote>
  <w:footnote w:type="continuationSeparator" w:id="0">
    <w:p w14:paraId="199B8497" w14:textId="77777777" w:rsidR="00657E5C" w:rsidRDefault="00657E5C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E2046" w14:textId="77777777" w:rsidR="001F7C95" w:rsidRDefault="00E957FF">
    <w:pPr>
      <w:pStyle w:val="Nagwek"/>
    </w:pPr>
    <w:r>
      <w:rPr>
        <w:noProof/>
      </w:rPr>
      <w:pict w14:anchorId="0FC055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1029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95BEC" w14:textId="77777777" w:rsidR="001F7C95" w:rsidRDefault="00E957FF">
    <w:pPr>
      <w:pStyle w:val="Nagwek"/>
    </w:pPr>
    <w:r>
      <w:rPr>
        <w:noProof/>
      </w:rPr>
      <w:pict w14:anchorId="6097E2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2" o:spid="_x0000_s1030" type="#_x0000_t75" style="position:absolute;margin-left:0;margin-top:0;width:612.95pt;height:859.2pt;z-index:-251656192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77072" w14:textId="77777777" w:rsidR="001F7C95" w:rsidRDefault="00E957FF">
    <w:pPr>
      <w:pStyle w:val="Nagwek"/>
    </w:pPr>
    <w:r>
      <w:rPr>
        <w:noProof/>
      </w:rPr>
      <w:pict w14:anchorId="3DEB2C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1028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C63CD"/>
    <w:multiLevelType w:val="hybridMultilevel"/>
    <w:tmpl w:val="B1A8F5D2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B4224A7"/>
    <w:multiLevelType w:val="hybridMultilevel"/>
    <w:tmpl w:val="F81009F0"/>
    <w:lvl w:ilvl="0" w:tplc="04150011">
      <w:start w:val="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86551F"/>
    <w:multiLevelType w:val="hybridMultilevel"/>
    <w:tmpl w:val="B1A8F5D2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3171A28"/>
    <w:multiLevelType w:val="hybridMultilevel"/>
    <w:tmpl w:val="2D34A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224D1"/>
    <w:multiLevelType w:val="hybridMultilevel"/>
    <w:tmpl w:val="5CA807AA"/>
    <w:name w:val="WW8Num10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A62F0"/>
    <w:multiLevelType w:val="hybridMultilevel"/>
    <w:tmpl w:val="0442D6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E61C37"/>
    <w:multiLevelType w:val="hybridMultilevel"/>
    <w:tmpl w:val="55B8F898"/>
    <w:lvl w:ilvl="0" w:tplc="DAE648B6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6296C"/>
    <w:multiLevelType w:val="hybridMultilevel"/>
    <w:tmpl w:val="05248874"/>
    <w:lvl w:ilvl="0" w:tplc="09EE5D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color w:val="00000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774AC"/>
    <w:multiLevelType w:val="multilevel"/>
    <w:tmpl w:val="2AF774A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244CF"/>
    <w:multiLevelType w:val="hybridMultilevel"/>
    <w:tmpl w:val="B576DF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367273"/>
    <w:multiLevelType w:val="hybridMultilevel"/>
    <w:tmpl w:val="85627D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AF3FDC"/>
    <w:multiLevelType w:val="hybridMultilevel"/>
    <w:tmpl w:val="0D025F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11C5D"/>
    <w:multiLevelType w:val="hybridMultilevel"/>
    <w:tmpl w:val="66149CD0"/>
    <w:lvl w:ilvl="0" w:tplc="498E512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043A8E"/>
    <w:multiLevelType w:val="multilevel"/>
    <w:tmpl w:val="2C74ADC8"/>
    <w:lvl w:ilvl="0">
      <w:start w:val="4"/>
      <w:numFmt w:val="decimal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abstractNum w:abstractNumId="14" w15:restartNumberingAfterBreak="0">
    <w:nsid w:val="4E277AC6"/>
    <w:multiLevelType w:val="hybridMultilevel"/>
    <w:tmpl w:val="79EE009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451B42"/>
    <w:multiLevelType w:val="hybridMultilevel"/>
    <w:tmpl w:val="B1A8F5D2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1630E15"/>
    <w:multiLevelType w:val="hybridMultilevel"/>
    <w:tmpl w:val="8DE4FA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2C311A"/>
    <w:multiLevelType w:val="hybridMultilevel"/>
    <w:tmpl w:val="B1A8F5D2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A831AEB"/>
    <w:multiLevelType w:val="hybridMultilevel"/>
    <w:tmpl w:val="B1A8F5D2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B7E3AB9"/>
    <w:multiLevelType w:val="hybridMultilevel"/>
    <w:tmpl w:val="9092C788"/>
    <w:lvl w:ilvl="0" w:tplc="19C4E45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5C3E0D56"/>
    <w:multiLevelType w:val="hybridMultilevel"/>
    <w:tmpl w:val="3C444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4533A1"/>
    <w:multiLevelType w:val="multilevel"/>
    <w:tmpl w:val="04AEDB70"/>
    <w:lvl w:ilvl="0">
      <w:start w:val="6"/>
      <w:numFmt w:val="decimal"/>
      <w:lvlText w:val="%1)"/>
      <w:lvlJc w:val="left"/>
      <w:pPr>
        <w:ind w:left="720" w:hanging="360"/>
      </w:pPr>
      <w:rPr>
        <w:rFonts w:hint="default"/>
        <w:sz w:val="20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643D4D66"/>
    <w:multiLevelType w:val="hybridMultilevel"/>
    <w:tmpl w:val="B1A8F5D2"/>
    <w:lvl w:ilvl="0" w:tplc="2286D8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7306FD1"/>
    <w:multiLevelType w:val="hybridMultilevel"/>
    <w:tmpl w:val="B1A8F5D2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85C5932"/>
    <w:multiLevelType w:val="multilevel"/>
    <w:tmpl w:val="2BB2D51E"/>
    <w:styleLink w:val="WWNum7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Times New Roman" w:hAnsi="Arial" w:cs="Arial"/>
        <w:sz w:val="22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21F4F7A"/>
    <w:multiLevelType w:val="hybridMultilevel"/>
    <w:tmpl w:val="7944B3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312A77"/>
    <w:multiLevelType w:val="multilevel"/>
    <w:tmpl w:val="75312A7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29050E"/>
    <w:multiLevelType w:val="hybridMultilevel"/>
    <w:tmpl w:val="A7DAD8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CA2D14"/>
    <w:multiLevelType w:val="hybridMultilevel"/>
    <w:tmpl w:val="B1A8F5D2"/>
    <w:lvl w:ilvl="0" w:tplc="FFFFFFF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401178172">
    <w:abstractNumId w:val="24"/>
  </w:num>
  <w:num w:numId="2" w16cid:durableId="796485895">
    <w:abstractNumId w:val="7"/>
  </w:num>
  <w:num w:numId="3" w16cid:durableId="70658245">
    <w:abstractNumId w:val="14"/>
  </w:num>
  <w:num w:numId="4" w16cid:durableId="885264290">
    <w:abstractNumId w:val="4"/>
  </w:num>
  <w:num w:numId="5" w16cid:durableId="205797518">
    <w:abstractNumId w:val="25"/>
  </w:num>
  <w:num w:numId="6" w16cid:durableId="19819981">
    <w:abstractNumId w:val="22"/>
  </w:num>
  <w:num w:numId="7" w16cid:durableId="677734160">
    <w:abstractNumId w:val="18"/>
  </w:num>
  <w:num w:numId="8" w16cid:durableId="1320422663">
    <w:abstractNumId w:val="17"/>
  </w:num>
  <w:num w:numId="9" w16cid:durableId="392898474">
    <w:abstractNumId w:val="28"/>
  </w:num>
  <w:num w:numId="10" w16cid:durableId="475682040">
    <w:abstractNumId w:val="15"/>
  </w:num>
  <w:num w:numId="11" w16cid:durableId="1343312035">
    <w:abstractNumId w:val="23"/>
  </w:num>
  <w:num w:numId="12" w16cid:durableId="2042508746">
    <w:abstractNumId w:val="0"/>
  </w:num>
  <w:num w:numId="13" w16cid:durableId="1136727051">
    <w:abstractNumId w:val="2"/>
  </w:num>
  <w:num w:numId="14" w16cid:durableId="1571428170">
    <w:abstractNumId w:val="3"/>
  </w:num>
  <w:num w:numId="15" w16cid:durableId="260452752">
    <w:abstractNumId w:val="9"/>
  </w:num>
  <w:num w:numId="16" w16cid:durableId="54633915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831365471">
    <w:abstractNumId w:val="20"/>
  </w:num>
  <w:num w:numId="18" w16cid:durableId="2116368284">
    <w:abstractNumId w:val="26"/>
  </w:num>
  <w:num w:numId="19" w16cid:durableId="71998365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916207942">
    <w:abstractNumId w:val="13"/>
  </w:num>
  <w:num w:numId="21" w16cid:durableId="577904814">
    <w:abstractNumId w:val="1"/>
  </w:num>
  <w:num w:numId="22" w16cid:durableId="542013599">
    <w:abstractNumId w:val="6"/>
  </w:num>
  <w:num w:numId="23" w16cid:durableId="1987853293">
    <w:abstractNumId w:val="16"/>
  </w:num>
  <w:num w:numId="24" w16cid:durableId="51126005">
    <w:abstractNumId w:val="10"/>
  </w:num>
  <w:num w:numId="25" w16cid:durableId="1943105285">
    <w:abstractNumId w:val="19"/>
  </w:num>
  <w:num w:numId="26" w16cid:durableId="1651442143">
    <w:abstractNumId w:val="21"/>
  </w:num>
  <w:num w:numId="27" w16cid:durableId="1572350387">
    <w:abstractNumId w:val="24"/>
    <w:lvlOverride w:ilvl="0">
      <w:lvl w:ilvl="0">
        <w:start w:val="1"/>
        <w:numFmt w:val="decimal"/>
        <w:lvlText w:val="%1."/>
        <w:lvlJc w:val="left"/>
        <w:pPr>
          <w:ind w:left="927" w:hanging="360"/>
        </w:pPr>
        <w:rPr>
          <w:rFonts w:ascii="Arial" w:eastAsia="Times New Roman" w:hAnsi="Arial" w:cs="Arial"/>
          <w:sz w:val="20"/>
          <w:szCs w:val="20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647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367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3087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807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527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247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967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687" w:hanging="180"/>
        </w:pPr>
      </w:lvl>
    </w:lvlOverride>
  </w:num>
  <w:num w:numId="28" w16cid:durableId="1664317401">
    <w:abstractNumId w:val="12"/>
  </w:num>
  <w:num w:numId="29" w16cid:durableId="2123914596">
    <w:abstractNumId w:val="11"/>
  </w:num>
  <w:num w:numId="30" w16cid:durableId="934366681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3857"/>
    <w:rsid w:val="00004571"/>
    <w:rsid w:val="00015428"/>
    <w:rsid w:val="00022AF0"/>
    <w:rsid w:val="00023F82"/>
    <w:rsid w:val="00030ECB"/>
    <w:rsid w:val="00037437"/>
    <w:rsid w:val="00043B7A"/>
    <w:rsid w:val="00044346"/>
    <w:rsid w:val="00050817"/>
    <w:rsid w:val="0005469D"/>
    <w:rsid w:val="00057CB9"/>
    <w:rsid w:val="00064671"/>
    <w:rsid w:val="00066F67"/>
    <w:rsid w:val="00067136"/>
    <w:rsid w:val="00074E9C"/>
    <w:rsid w:val="00080D55"/>
    <w:rsid w:val="000838A8"/>
    <w:rsid w:val="00093206"/>
    <w:rsid w:val="000963F8"/>
    <w:rsid w:val="000B0112"/>
    <w:rsid w:val="000C2957"/>
    <w:rsid w:val="000C3F01"/>
    <w:rsid w:val="000C4F50"/>
    <w:rsid w:val="000C500D"/>
    <w:rsid w:val="000D2C29"/>
    <w:rsid w:val="000D7446"/>
    <w:rsid w:val="000E68E1"/>
    <w:rsid w:val="000E7B20"/>
    <w:rsid w:val="000F08DB"/>
    <w:rsid w:val="000F5105"/>
    <w:rsid w:val="00101A4F"/>
    <w:rsid w:val="001057F7"/>
    <w:rsid w:val="00110ED0"/>
    <w:rsid w:val="00113F34"/>
    <w:rsid w:val="00113FC7"/>
    <w:rsid w:val="00115BC3"/>
    <w:rsid w:val="00116FCE"/>
    <w:rsid w:val="00123BB5"/>
    <w:rsid w:val="00130ABC"/>
    <w:rsid w:val="00134C3F"/>
    <w:rsid w:val="00135684"/>
    <w:rsid w:val="00151212"/>
    <w:rsid w:val="00160DBE"/>
    <w:rsid w:val="001625F8"/>
    <w:rsid w:val="00165834"/>
    <w:rsid w:val="00165EF6"/>
    <w:rsid w:val="00171A87"/>
    <w:rsid w:val="001748BD"/>
    <w:rsid w:val="00174B79"/>
    <w:rsid w:val="0018594C"/>
    <w:rsid w:val="00191C48"/>
    <w:rsid w:val="0019249F"/>
    <w:rsid w:val="001944A9"/>
    <w:rsid w:val="001B0EB4"/>
    <w:rsid w:val="001B528A"/>
    <w:rsid w:val="001B627B"/>
    <w:rsid w:val="001C01B6"/>
    <w:rsid w:val="001C46C7"/>
    <w:rsid w:val="001C626E"/>
    <w:rsid w:val="001D356E"/>
    <w:rsid w:val="001E2D1E"/>
    <w:rsid w:val="001E2EB6"/>
    <w:rsid w:val="001E39EF"/>
    <w:rsid w:val="001F1A9C"/>
    <w:rsid w:val="001F43B7"/>
    <w:rsid w:val="001F7C95"/>
    <w:rsid w:val="00215C6D"/>
    <w:rsid w:val="002230AE"/>
    <w:rsid w:val="0022661F"/>
    <w:rsid w:val="00231E01"/>
    <w:rsid w:val="002336BE"/>
    <w:rsid w:val="00234451"/>
    <w:rsid w:val="00240BF3"/>
    <w:rsid w:val="00243997"/>
    <w:rsid w:val="00255EF3"/>
    <w:rsid w:val="002637F0"/>
    <w:rsid w:val="002679DA"/>
    <w:rsid w:val="00271C4A"/>
    <w:rsid w:val="00277E29"/>
    <w:rsid w:val="002811C5"/>
    <w:rsid w:val="002856B1"/>
    <w:rsid w:val="00290DAF"/>
    <w:rsid w:val="00294DF5"/>
    <w:rsid w:val="00296870"/>
    <w:rsid w:val="00297395"/>
    <w:rsid w:val="002A3995"/>
    <w:rsid w:val="002A7DD7"/>
    <w:rsid w:val="002B37FB"/>
    <w:rsid w:val="002B3F6E"/>
    <w:rsid w:val="002B4815"/>
    <w:rsid w:val="002B55C6"/>
    <w:rsid w:val="002B5CE8"/>
    <w:rsid w:val="002B6676"/>
    <w:rsid w:val="002C22E0"/>
    <w:rsid w:val="002C6A52"/>
    <w:rsid w:val="002E2666"/>
    <w:rsid w:val="002E76BC"/>
    <w:rsid w:val="00320AC6"/>
    <w:rsid w:val="00321083"/>
    <w:rsid w:val="0033134F"/>
    <w:rsid w:val="0033401B"/>
    <w:rsid w:val="00346B57"/>
    <w:rsid w:val="003473BD"/>
    <w:rsid w:val="0035258A"/>
    <w:rsid w:val="00355E80"/>
    <w:rsid w:val="0035648B"/>
    <w:rsid w:val="00372794"/>
    <w:rsid w:val="00374073"/>
    <w:rsid w:val="00376BA8"/>
    <w:rsid w:val="00384D19"/>
    <w:rsid w:val="003900DB"/>
    <w:rsid w:val="00394E3D"/>
    <w:rsid w:val="00397B72"/>
    <w:rsid w:val="003D6BC2"/>
    <w:rsid w:val="003E12C2"/>
    <w:rsid w:val="003E4EC3"/>
    <w:rsid w:val="003E61E9"/>
    <w:rsid w:val="003E7336"/>
    <w:rsid w:val="003F3CF9"/>
    <w:rsid w:val="003F55EB"/>
    <w:rsid w:val="003F6F59"/>
    <w:rsid w:val="003F7977"/>
    <w:rsid w:val="003F7BBF"/>
    <w:rsid w:val="00414107"/>
    <w:rsid w:val="0041515F"/>
    <w:rsid w:val="00443039"/>
    <w:rsid w:val="00443B44"/>
    <w:rsid w:val="00455C55"/>
    <w:rsid w:val="004579EF"/>
    <w:rsid w:val="00471490"/>
    <w:rsid w:val="00472E4C"/>
    <w:rsid w:val="00473004"/>
    <w:rsid w:val="0048262E"/>
    <w:rsid w:val="00494C1F"/>
    <w:rsid w:val="004A1970"/>
    <w:rsid w:val="004A29CE"/>
    <w:rsid w:val="004A3FAF"/>
    <w:rsid w:val="004B326A"/>
    <w:rsid w:val="004C2DC2"/>
    <w:rsid w:val="004C6EB7"/>
    <w:rsid w:val="004D03AB"/>
    <w:rsid w:val="004D23FA"/>
    <w:rsid w:val="004E2FEF"/>
    <w:rsid w:val="004E30BB"/>
    <w:rsid w:val="004E6061"/>
    <w:rsid w:val="004F1E27"/>
    <w:rsid w:val="004F32AD"/>
    <w:rsid w:val="005027FC"/>
    <w:rsid w:val="005053D5"/>
    <w:rsid w:val="00514337"/>
    <w:rsid w:val="005164A0"/>
    <w:rsid w:val="0051651F"/>
    <w:rsid w:val="005168D5"/>
    <w:rsid w:val="00522743"/>
    <w:rsid w:val="00527C1E"/>
    <w:rsid w:val="00531A72"/>
    <w:rsid w:val="00532674"/>
    <w:rsid w:val="005328AC"/>
    <w:rsid w:val="00534FCF"/>
    <w:rsid w:val="00550AA6"/>
    <w:rsid w:val="005568C2"/>
    <w:rsid w:val="00565D93"/>
    <w:rsid w:val="005674B4"/>
    <w:rsid w:val="00570E27"/>
    <w:rsid w:val="005721BA"/>
    <w:rsid w:val="00575328"/>
    <w:rsid w:val="00583808"/>
    <w:rsid w:val="00595119"/>
    <w:rsid w:val="005A3FFB"/>
    <w:rsid w:val="005A44ED"/>
    <w:rsid w:val="005C4178"/>
    <w:rsid w:val="005C50F4"/>
    <w:rsid w:val="005C6468"/>
    <w:rsid w:val="005E052C"/>
    <w:rsid w:val="005E1652"/>
    <w:rsid w:val="00601FCD"/>
    <w:rsid w:val="006035E0"/>
    <w:rsid w:val="006212D0"/>
    <w:rsid w:val="00626467"/>
    <w:rsid w:val="00632F8F"/>
    <w:rsid w:val="00634C8A"/>
    <w:rsid w:val="00637557"/>
    <w:rsid w:val="00644D6A"/>
    <w:rsid w:val="006559EC"/>
    <w:rsid w:val="00656A78"/>
    <w:rsid w:val="00656E62"/>
    <w:rsid w:val="00657E5C"/>
    <w:rsid w:val="00662DAC"/>
    <w:rsid w:val="00667F79"/>
    <w:rsid w:val="00672D05"/>
    <w:rsid w:val="0067515A"/>
    <w:rsid w:val="0067588A"/>
    <w:rsid w:val="0068052E"/>
    <w:rsid w:val="0068172A"/>
    <w:rsid w:val="00687995"/>
    <w:rsid w:val="0069508E"/>
    <w:rsid w:val="00695C02"/>
    <w:rsid w:val="006A6794"/>
    <w:rsid w:val="006A7DFD"/>
    <w:rsid w:val="006B60B4"/>
    <w:rsid w:val="006C47DE"/>
    <w:rsid w:val="006C5E7E"/>
    <w:rsid w:val="006D6499"/>
    <w:rsid w:val="006F759D"/>
    <w:rsid w:val="0070205C"/>
    <w:rsid w:val="007046C8"/>
    <w:rsid w:val="00712D40"/>
    <w:rsid w:val="007204EF"/>
    <w:rsid w:val="007205D5"/>
    <w:rsid w:val="00722BA4"/>
    <w:rsid w:val="00730F65"/>
    <w:rsid w:val="00734BD7"/>
    <w:rsid w:val="00743A56"/>
    <w:rsid w:val="007533A1"/>
    <w:rsid w:val="00754DBA"/>
    <w:rsid w:val="00762A54"/>
    <w:rsid w:val="00783780"/>
    <w:rsid w:val="007870CF"/>
    <w:rsid w:val="007962D7"/>
    <w:rsid w:val="007A00D2"/>
    <w:rsid w:val="007A171B"/>
    <w:rsid w:val="007A4568"/>
    <w:rsid w:val="007B3724"/>
    <w:rsid w:val="007C02D9"/>
    <w:rsid w:val="007C677D"/>
    <w:rsid w:val="007C7544"/>
    <w:rsid w:val="007D3F9A"/>
    <w:rsid w:val="007D6A7F"/>
    <w:rsid w:val="007E3857"/>
    <w:rsid w:val="007F0C6B"/>
    <w:rsid w:val="00800878"/>
    <w:rsid w:val="008008D2"/>
    <w:rsid w:val="00800EAA"/>
    <w:rsid w:val="00806ADD"/>
    <w:rsid w:val="008105CF"/>
    <w:rsid w:val="00814C30"/>
    <w:rsid w:val="00824ED6"/>
    <w:rsid w:val="00824EDA"/>
    <w:rsid w:val="008317C3"/>
    <w:rsid w:val="00832C39"/>
    <w:rsid w:val="008438F4"/>
    <w:rsid w:val="0085033C"/>
    <w:rsid w:val="00852B65"/>
    <w:rsid w:val="008569B1"/>
    <w:rsid w:val="00860988"/>
    <w:rsid w:val="00862D87"/>
    <w:rsid w:val="008830F6"/>
    <w:rsid w:val="008879F8"/>
    <w:rsid w:val="00896AC3"/>
    <w:rsid w:val="00896B68"/>
    <w:rsid w:val="008A1EDB"/>
    <w:rsid w:val="008A2D49"/>
    <w:rsid w:val="008A5382"/>
    <w:rsid w:val="008B1DF0"/>
    <w:rsid w:val="008B72BC"/>
    <w:rsid w:val="008C446E"/>
    <w:rsid w:val="008D068F"/>
    <w:rsid w:val="008E09AB"/>
    <w:rsid w:val="008E3598"/>
    <w:rsid w:val="008E4B97"/>
    <w:rsid w:val="008E6435"/>
    <w:rsid w:val="008F0ACF"/>
    <w:rsid w:val="008F148C"/>
    <w:rsid w:val="008F6A26"/>
    <w:rsid w:val="00902E2D"/>
    <w:rsid w:val="0090476B"/>
    <w:rsid w:val="0090696C"/>
    <w:rsid w:val="00914239"/>
    <w:rsid w:val="00921EFF"/>
    <w:rsid w:val="0093183B"/>
    <w:rsid w:val="009378E8"/>
    <w:rsid w:val="00940CC9"/>
    <w:rsid w:val="009466C6"/>
    <w:rsid w:val="00956D37"/>
    <w:rsid w:val="00960756"/>
    <w:rsid w:val="009614E6"/>
    <w:rsid w:val="0096769B"/>
    <w:rsid w:val="0097084B"/>
    <w:rsid w:val="00971434"/>
    <w:rsid w:val="009748B6"/>
    <w:rsid w:val="00976069"/>
    <w:rsid w:val="00987085"/>
    <w:rsid w:val="009A0A77"/>
    <w:rsid w:val="009A2045"/>
    <w:rsid w:val="009A2E9A"/>
    <w:rsid w:val="009B07CA"/>
    <w:rsid w:val="009B0D39"/>
    <w:rsid w:val="009B362F"/>
    <w:rsid w:val="009B3C04"/>
    <w:rsid w:val="009C1125"/>
    <w:rsid w:val="009F061E"/>
    <w:rsid w:val="00A06A6D"/>
    <w:rsid w:val="00A12BF1"/>
    <w:rsid w:val="00A13267"/>
    <w:rsid w:val="00A13A51"/>
    <w:rsid w:val="00A20161"/>
    <w:rsid w:val="00A27910"/>
    <w:rsid w:val="00A339F4"/>
    <w:rsid w:val="00A33AC1"/>
    <w:rsid w:val="00A41CCB"/>
    <w:rsid w:val="00A424B0"/>
    <w:rsid w:val="00A42869"/>
    <w:rsid w:val="00A462B4"/>
    <w:rsid w:val="00A4743C"/>
    <w:rsid w:val="00A57E5F"/>
    <w:rsid w:val="00A61A63"/>
    <w:rsid w:val="00A74D59"/>
    <w:rsid w:val="00A75C18"/>
    <w:rsid w:val="00A7633B"/>
    <w:rsid w:val="00A80EA1"/>
    <w:rsid w:val="00A8620F"/>
    <w:rsid w:val="00AA23DD"/>
    <w:rsid w:val="00AA55F1"/>
    <w:rsid w:val="00AB0AF0"/>
    <w:rsid w:val="00AB1741"/>
    <w:rsid w:val="00AB176F"/>
    <w:rsid w:val="00AB5910"/>
    <w:rsid w:val="00AC0F0A"/>
    <w:rsid w:val="00AC7922"/>
    <w:rsid w:val="00AD0A4B"/>
    <w:rsid w:val="00AD1525"/>
    <w:rsid w:val="00AE1887"/>
    <w:rsid w:val="00B06A54"/>
    <w:rsid w:val="00B177C1"/>
    <w:rsid w:val="00B17E31"/>
    <w:rsid w:val="00B205E2"/>
    <w:rsid w:val="00B31672"/>
    <w:rsid w:val="00B35E93"/>
    <w:rsid w:val="00B435D7"/>
    <w:rsid w:val="00B43825"/>
    <w:rsid w:val="00B46178"/>
    <w:rsid w:val="00B5232C"/>
    <w:rsid w:val="00B6140E"/>
    <w:rsid w:val="00B61447"/>
    <w:rsid w:val="00B615C6"/>
    <w:rsid w:val="00B624BF"/>
    <w:rsid w:val="00B6637E"/>
    <w:rsid w:val="00B7114D"/>
    <w:rsid w:val="00B872B7"/>
    <w:rsid w:val="00B92B76"/>
    <w:rsid w:val="00B94AEB"/>
    <w:rsid w:val="00B971C7"/>
    <w:rsid w:val="00BA52BA"/>
    <w:rsid w:val="00BB5C3A"/>
    <w:rsid w:val="00BC010E"/>
    <w:rsid w:val="00BD68E6"/>
    <w:rsid w:val="00BE5404"/>
    <w:rsid w:val="00BE6133"/>
    <w:rsid w:val="00BE6155"/>
    <w:rsid w:val="00BF3B13"/>
    <w:rsid w:val="00BF6C12"/>
    <w:rsid w:val="00BF6FE8"/>
    <w:rsid w:val="00C0083B"/>
    <w:rsid w:val="00C03614"/>
    <w:rsid w:val="00C037A2"/>
    <w:rsid w:val="00C05935"/>
    <w:rsid w:val="00C05C4D"/>
    <w:rsid w:val="00C16248"/>
    <w:rsid w:val="00C17695"/>
    <w:rsid w:val="00C22E93"/>
    <w:rsid w:val="00C2321F"/>
    <w:rsid w:val="00C27538"/>
    <w:rsid w:val="00C276B0"/>
    <w:rsid w:val="00C44EB8"/>
    <w:rsid w:val="00C45270"/>
    <w:rsid w:val="00C509B2"/>
    <w:rsid w:val="00C51E03"/>
    <w:rsid w:val="00C5236E"/>
    <w:rsid w:val="00C55396"/>
    <w:rsid w:val="00C63D41"/>
    <w:rsid w:val="00C665A2"/>
    <w:rsid w:val="00C70136"/>
    <w:rsid w:val="00C76ADC"/>
    <w:rsid w:val="00C87865"/>
    <w:rsid w:val="00C95C76"/>
    <w:rsid w:val="00CA00EB"/>
    <w:rsid w:val="00CA2A20"/>
    <w:rsid w:val="00CB6113"/>
    <w:rsid w:val="00CD5C29"/>
    <w:rsid w:val="00CD76A1"/>
    <w:rsid w:val="00CD79AB"/>
    <w:rsid w:val="00CE2309"/>
    <w:rsid w:val="00CE61FB"/>
    <w:rsid w:val="00CE7CCA"/>
    <w:rsid w:val="00CF23CD"/>
    <w:rsid w:val="00CF58AC"/>
    <w:rsid w:val="00CF5F61"/>
    <w:rsid w:val="00CF7045"/>
    <w:rsid w:val="00D07ADD"/>
    <w:rsid w:val="00D20AE8"/>
    <w:rsid w:val="00D27A4C"/>
    <w:rsid w:val="00D4021F"/>
    <w:rsid w:val="00D466F7"/>
    <w:rsid w:val="00D50BC1"/>
    <w:rsid w:val="00D53819"/>
    <w:rsid w:val="00D56E00"/>
    <w:rsid w:val="00D64450"/>
    <w:rsid w:val="00D742C2"/>
    <w:rsid w:val="00D90532"/>
    <w:rsid w:val="00D91734"/>
    <w:rsid w:val="00D92BCB"/>
    <w:rsid w:val="00D9390C"/>
    <w:rsid w:val="00DA2248"/>
    <w:rsid w:val="00DA4D58"/>
    <w:rsid w:val="00DA5646"/>
    <w:rsid w:val="00DB0DA5"/>
    <w:rsid w:val="00DB18D7"/>
    <w:rsid w:val="00DB3EAE"/>
    <w:rsid w:val="00DC442E"/>
    <w:rsid w:val="00DC7D29"/>
    <w:rsid w:val="00DD02FF"/>
    <w:rsid w:val="00DE1471"/>
    <w:rsid w:val="00DE183C"/>
    <w:rsid w:val="00DE40C9"/>
    <w:rsid w:val="00DE5AA7"/>
    <w:rsid w:val="00DF1875"/>
    <w:rsid w:val="00DF4325"/>
    <w:rsid w:val="00DF5E11"/>
    <w:rsid w:val="00E0684A"/>
    <w:rsid w:val="00E101B1"/>
    <w:rsid w:val="00E10C12"/>
    <w:rsid w:val="00E15521"/>
    <w:rsid w:val="00E15953"/>
    <w:rsid w:val="00E159A8"/>
    <w:rsid w:val="00E21B91"/>
    <w:rsid w:val="00E22027"/>
    <w:rsid w:val="00E23B12"/>
    <w:rsid w:val="00E32877"/>
    <w:rsid w:val="00E41CD0"/>
    <w:rsid w:val="00E47E87"/>
    <w:rsid w:val="00E51F85"/>
    <w:rsid w:val="00E53DD8"/>
    <w:rsid w:val="00E55C3B"/>
    <w:rsid w:val="00E642C5"/>
    <w:rsid w:val="00E7627D"/>
    <w:rsid w:val="00E77ACA"/>
    <w:rsid w:val="00E830CA"/>
    <w:rsid w:val="00E84200"/>
    <w:rsid w:val="00E957FF"/>
    <w:rsid w:val="00E95B8F"/>
    <w:rsid w:val="00E96726"/>
    <w:rsid w:val="00E97A53"/>
    <w:rsid w:val="00EA394C"/>
    <w:rsid w:val="00EA4D6B"/>
    <w:rsid w:val="00EA77E7"/>
    <w:rsid w:val="00EB078A"/>
    <w:rsid w:val="00EB36C4"/>
    <w:rsid w:val="00EC4297"/>
    <w:rsid w:val="00EC7878"/>
    <w:rsid w:val="00ED3AA9"/>
    <w:rsid w:val="00ED5425"/>
    <w:rsid w:val="00ED6F00"/>
    <w:rsid w:val="00ED7911"/>
    <w:rsid w:val="00EE109D"/>
    <w:rsid w:val="00F07A22"/>
    <w:rsid w:val="00F10D08"/>
    <w:rsid w:val="00F2694E"/>
    <w:rsid w:val="00F461A2"/>
    <w:rsid w:val="00F465F2"/>
    <w:rsid w:val="00F571F7"/>
    <w:rsid w:val="00F63CC5"/>
    <w:rsid w:val="00F704FC"/>
    <w:rsid w:val="00F71542"/>
    <w:rsid w:val="00F72EA7"/>
    <w:rsid w:val="00F779FF"/>
    <w:rsid w:val="00F77B3C"/>
    <w:rsid w:val="00F91404"/>
    <w:rsid w:val="00FA4B90"/>
    <w:rsid w:val="00FA4C59"/>
    <w:rsid w:val="00FA54E4"/>
    <w:rsid w:val="00FA63FB"/>
    <w:rsid w:val="00FA6635"/>
    <w:rsid w:val="00FA72F7"/>
    <w:rsid w:val="00FB0DBC"/>
    <w:rsid w:val="00FB47D9"/>
    <w:rsid w:val="00FC25B0"/>
    <w:rsid w:val="00FC2896"/>
    <w:rsid w:val="00FC76CD"/>
    <w:rsid w:val="00FC7714"/>
    <w:rsid w:val="00FD1D54"/>
    <w:rsid w:val="00FD2FD8"/>
    <w:rsid w:val="00FD5012"/>
    <w:rsid w:val="00FD62E8"/>
    <w:rsid w:val="00FF4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7C2936"/>
  <w15:docId w15:val="{59B6C52D-ABD5-4563-958D-CC7F1B0FA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232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Tekstpodstawowy">
    <w:name w:val="Body Text"/>
    <w:basedOn w:val="Normalny"/>
    <w:link w:val="TekstpodstawowyZnak"/>
    <w:unhideWhenUsed/>
    <w:rsid w:val="0067588A"/>
    <w:pPr>
      <w:suppressAutoHyphens/>
      <w:spacing w:after="140" w:line="288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67588A"/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7588A"/>
    <w:pPr>
      <w:widowControl w:val="0"/>
      <w:suppressAutoHyphens/>
      <w:autoSpaceDN w:val="0"/>
      <w:spacing w:after="60" w:line="240" w:lineRule="auto"/>
      <w:jc w:val="center"/>
      <w:outlineLvl w:val="1"/>
    </w:pPr>
    <w:rPr>
      <w:rFonts w:ascii="Cambria" w:eastAsia="Times New Roman" w:hAnsi="Cambria" w:cs="Mangal"/>
      <w:kern w:val="3"/>
      <w:sz w:val="24"/>
      <w:szCs w:val="21"/>
      <w:lang w:eastAsia="zh-CN" w:bidi="hi-IN"/>
    </w:rPr>
  </w:style>
  <w:style w:type="character" w:customStyle="1" w:styleId="PodtytuZnak">
    <w:name w:val="Podtytuł Znak"/>
    <w:basedOn w:val="Domylnaczcionkaakapitu"/>
    <w:link w:val="Podtytu"/>
    <w:uiPriority w:val="11"/>
    <w:rsid w:val="0067588A"/>
    <w:rPr>
      <w:rFonts w:ascii="Cambria" w:eastAsia="Times New Roman" w:hAnsi="Cambria" w:cs="Mangal"/>
      <w:kern w:val="3"/>
      <w:sz w:val="24"/>
      <w:szCs w:val="21"/>
      <w:lang w:eastAsia="zh-CN" w:bidi="hi-IN"/>
    </w:rPr>
  </w:style>
  <w:style w:type="paragraph" w:customStyle="1" w:styleId="Nagwek2">
    <w:name w:val="Nagłówek2"/>
    <w:basedOn w:val="Normalny"/>
    <w:next w:val="Podtytu"/>
    <w:rsid w:val="0067588A"/>
    <w:pPr>
      <w:suppressAutoHyphens/>
      <w:spacing w:after="0" w:line="240" w:lineRule="auto"/>
      <w:jc w:val="center"/>
    </w:pPr>
    <w:rPr>
      <w:rFonts w:ascii="Liberation Serif" w:eastAsia="SimSun" w:hAnsi="Liberation Serif" w:cs="Mangal"/>
      <w:b/>
      <w:caps/>
      <w:kern w:val="2"/>
      <w:sz w:val="36"/>
      <w:szCs w:val="24"/>
      <w:lang w:eastAsia="zh-CN" w:bidi="hi-IN"/>
    </w:rPr>
  </w:style>
  <w:style w:type="paragraph" w:customStyle="1" w:styleId="Zawartotabeli">
    <w:name w:val="Zawartość tabeli"/>
    <w:basedOn w:val="Normalny"/>
    <w:rsid w:val="0067588A"/>
    <w:pPr>
      <w:suppressLineNumbers/>
      <w:suppressAutoHyphens/>
      <w:spacing w:before="57" w:after="57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styleId="NormalnyWeb">
    <w:name w:val="Normal (Web)"/>
    <w:unhideWhenUsed/>
    <w:rsid w:val="004D23FA"/>
    <w:pPr>
      <w:suppressAutoHyphens/>
      <w:spacing w:before="280" w:after="280" w:line="240" w:lineRule="auto"/>
    </w:pPr>
    <w:rPr>
      <w:rFonts w:ascii="Times New Roman" w:eastAsia="SimSun" w:hAnsi="Times New Roman" w:cs="Arial Unicode MS"/>
      <w:color w:val="000000"/>
      <w:kern w:val="2"/>
      <w:sz w:val="24"/>
      <w:szCs w:val="24"/>
      <w:lang w:eastAsia="zh-CN" w:bidi="hi-IN"/>
    </w:rPr>
  </w:style>
  <w:style w:type="character" w:customStyle="1" w:styleId="AkapitzlistZnak">
    <w:name w:val="Akapit z listą Znak"/>
    <w:aliases w:val="CW_Lista Znak,BulletC Znak,Numerowanie Znak,Akapit z listą BS Znak,Kolorowa lista — akcent 11 Znak,Obiekt Znak,Akapit z listą 1 Znak,Normal Znak,Akapit z listą3 Znak,Akapit z listą31 Znak,Wypunktowanie Znak,Normal2 Znak,sw tekst Znak"/>
    <w:link w:val="Akapitzlist"/>
    <w:uiPriority w:val="34"/>
    <w:qFormat/>
    <w:locked/>
    <w:rsid w:val="000B0112"/>
    <w:rPr>
      <w:rFonts w:ascii="Times New Roman" w:eastAsia="Times New Roman" w:hAnsi="Times New Roman" w:cs="Times New Roman"/>
      <w:lang w:val="en-GB" w:eastAsia="pl-PL"/>
    </w:rPr>
  </w:style>
  <w:style w:type="paragraph" w:styleId="Akapitzlist">
    <w:name w:val="List Paragraph"/>
    <w:aliases w:val="CW_Lista,BulletC,Numerowanie,Akapit z listą BS,Kolorowa lista — akcent 11,Obiekt,Akapit z listą 1,Normal,Akapit z listą3,Akapit z listą31,Wypunktowanie,Normal2,sw tekst,L1,Adresat stanowisko,maz_wyliczenie,opis dzialania,K-P_odwolanie,lp1"/>
    <w:basedOn w:val="Normalny"/>
    <w:link w:val="AkapitzlistZnak"/>
    <w:uiPriority w:val="34"/>
    <w:qFormat/>
    <w:rsid w:val="000B011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n-GB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372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C44EB8"/>
    <w:pPr>
      <w:spacing w:after="0" w:line="240" w:lineRule="auto"/>
    </w:pPr>
  </w:style>
  <w:style w:type="paragraph" w:customStyle="1" w:styleId="Standard">
    <w:name w:val="Standard"/>
    <w:rsid w:val="001658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numbering" w:customStyle="1" w:styleId="WWNum7">
    <w:name w:val="WWNum7"/>
    <w:rsid w:val="00093206"/>
    <w:pPr>
      <w:numPr>
        <w:numId w:val="1"/>
      </w:numPr>
    </w:pPr>
  </w:style>
  <w:style w:type="paragraph" w:customStyle="1" w:styleId="Default">
    <w:name w:val="Default"/>
    <w:rsid w:val="004E60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kstpodstawowy31">
    <w:name w:val="Tekst podstawowy 31"/>
    <w:basedOn w:val="Normalny"/>
    <w:rsid w:val="00CE2309"/>
    <w:pPr>
      <w:widowControl w:val="0"/>
      <w:suppressAutoHyphens/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5C50F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C50F4"/>
    <w:rPr>
      <w:rFonts w:ascii="Times New Roman" w:eastAsia="Times New Roman" w:hAnsi="Times New Roman" w:cs="Times New Roman"/>
      <w:sz w:val="24"/>
      <w:szCs w:val="24"/>
      <w:lang w:val="en-US" w:eastAsia="pl-PL"/>
    </w:rPr>
  </w:style>
  <w:style w:type="character" w:styleId="Tekstzastpczy">
    <w:name w:val="Placeholder Text"/>
    <w:basedOn w:val="Domylnaczcionkaakapitu"/>
    <w:uiPriority w:val="99"/>
    <w:semiHidden/>
    <w:rsid w:val="00EC7878"/>
    <w:rPr>
      <w:color w:val="808080"/>
    </w:rPr>
  </w:style>
  <w:style w:type="paragraph" w:customStyle="1" w:styleId="ogloszenie">
    <w:name w:val="ogloszenie"/>
    <w:basedOn w:val="Normalny"/>
    <w:qFormat/>
    <w:rsid w:val="00722BA4"/>
    <w:pPr>
      <w:autoSpaceDN w:val="0"/>
      <w:spacing w:after="0" w:line="240" w:lineRule="auto"/>
    </w:pPr>
    <w:rPr>
      <w:rFonts w:ascii="Arial" w:eastAsia="Times New Roman" w:hAnsi="Arial" w:cs="Times New Roman"/>
      <w:color w:val="00000A"/>
      <w:sz w:val="20"/>
      <w:szCs w:val="20"/>
      <w:lang w:eastAsia="pl-PL"/>
    </w:r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semiHidden/>
    <w:unhideWhenUsed/>
    <w:rsid w:val="00494C1F"/>
    <w:pPr>
      <w:spacing w:after="0" w:line="240" w:lineRule="auto"/>
    </w:pPr>
    <w:rPr>
      <w:rFonts w:eastAsia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1"/>
    <w:uiPriority w:val="99"/>
    <w:semiHidden/>
    <w:rsid w:val="00494C1F"/>
    <w:rPr>
      <w:rFonts w:eastAsia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94C1F"/>
    <w:rPr>
      <w:vertAlign w:val="superscript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494C1F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494C1F"/>
    <w:rPr>
      <w:sz w:val="20"/>
      <w:szCs w:val="20"/>
    </w:rPr>
  </w:style>
  <w:style w:type="paragraph" w:customStyle="1" w:styleId="ZnakZnakZnakZnakZnakZnakZnak">
    <w:name w:val="Znak Znak Znak Znak Znak Znak Znak"/>
    <w:basedOn w:val="Normalny"/>
    <w:rsid w:val="005E0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B967B-2B55-48DE-BC8E-BD6C0322C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15</Pages>
  <Words>5064</Words>
  <Characters>30385</Characters>
  <Application>Microsoft Office Word</Application>
  <DocSecurity>0</DocSecurity>
  <Lines>253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 Kreps</dc:creator>
  <cp:lastModifiedBy>Monika Janoszka</cp:lastModifiedBy>
  <cp:revision>13</cp:revision>
  <cp:lastPrinted>2024-01-16T13:57:00Z</cp:lastPrinted>
  <dcterms:created xsi:type="dcterms:W3CDTF">2023-12-20T12:59:00Z</dcterms:created>
  <dcterms:modified xsi:type="dcterms:W3CDTF">2024-01-16T13:57:00Z</dcterms:modified>
</cp:coreProperties>
</file>