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9E68" w14:textId="30D3973A" w:rsidR="008D35F2" w:rsidRPr="00452075" w:rsidRDefault="008D35F2" w:rsidP="00452075">
      <w:pPr>
        <w:shd w:val="clear" w:color="auto" w:fill="DEEAF6" w:themeFill="accent5" w:themeFillTint="33"/>
        <w:jc w:val="center"/>
        <w:rPr>
          <w:rFonts w:cstheme="minorHAnsi"/>
          <w:b/>
          <w:sz w:val="32"/>
          <w:szCs w:val="32"/>
        </w:rPr>
      </w:pPr>
      <w:r w:rsidRPr="00452075">
        <w:rPr>
          <w:rFonts w:cstheme="minorHAnsi"/>
          <w:b/>
          <w:sz w:val="32"/>
          <w:szCs w:val="32"/>
        </w:rPr>
        <w:t>Opis przedmiotu zamówienia</w:t>
      </w:r>
    </w:p>
    <w:p w14:paraId="1A122115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Urządzenia stanowiące przedmiot zamówienia przedstawia poniższa specyfikacja techniczna. </w:t>
      </w:r>
    </w:p>
    <w:p w14:paraId="448BD1AF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Zaoferowany przez Wykonawcę sprzęt musi spełniać wszystkie wymogi zawarte w opisie przedmiotu zamówienia wykazane przez Zamawiającego. </w:t>
      </w:r>
    </w:p>
    <w:p w14:paraId="42F8031C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Zamawiający wymaga, aby przed uruchomieniem sprzętu Wykonawca dokonał sprawdzenia poprawności ich działania oraz przeprowadził szkolenie z obsługi, konserwacji oraz funkcjonowania przedmiotu zamówienia. Szkolenie powinno odbyć się w terminie uzgodnionym i zaakceptowanym przez Zamawiającego, nie później jednak niż w terminie 14 dni od daty ostatecznego terminu dostarczenia przedmiotu zamówienia.  </w:t>
      </w:r>
    </w:p>
    <w:p w14:paraId="3F9C2F86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Wykonawca zobowiązuje się dostarczyć przedmiot zamówienia bezpośrednio do budynku głównego uczelni oraz dokonać jego montażu i ustawienia w miejscu wskazanym przez Zamawiającego.</w:t>
      </w:r>
    </w:p>
    <w:p w14:paraId="65D8062A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Wykonawca jest zobowiązany posprzątać pomieszczenia oraz wywieźć wszystkie odpady oraz opakowania pozostałe po ich montażu.</w:t>
      </w:r>
    </w:p>
    <w:p w14:paraId="2B7154F9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Dostarczony sprzęt musi być fabrycznie nowy (wyprodukowany najpóźniej w 2021 r.), nieużywany, nieregenerowany, w pełni sprawny, kategorii I, wolny od wad, nie pochodzący z ekspozycji.</w:t>
      </w:r>
    </w:p>
    <w:p w14:paraId="35D59486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Sprzęt musi być dostarczony wraz z materiałami i wyposażeniem umożliwiającym ich eksploatację bezpośrednio po przekazaniu Zamawiającemu. </w:t>
      </w:r>
    </w:p>
    <w:p w14:paraId="5DAF97C5" w14:textId="2CF34806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Wykonawca zobowiązany jest dostarczyć własnym transportem i na własny koszt przedmiot zamówienia do obiektu </w:t>
      </w:r>
      <w:r w:rsidR="008A085F" w:rsidRPr="008A085F">
        <w:rPr>
          <w:rFonts w:ascii="Calibri" w:eastAsia="Calibri" w:hAnsi="Calibri" w:cs="Calibri"/>
          <w:kern w:val="0"/>
          <w14:ligatures w14:val="none"/>
        </w:rPr>
        <w:t xml:space="preserve">Akademii Nauk Stosowanych </w:t>
      </w:r>
      <w:r w:rsidRPr="000F50A5">
        <w:rPr>
          <w:rFonts w:ascii="Calibri" w:eastAsia="Calibri" w:hAnsi="Calibri" w:cs="Calibri"/>
          <w:kern w:val="0"/>
          <w14:ligatures w14:val="none"/>
        </w:rPr>
        <w:t xml:space="preserve">im. J. A. Komeńskiego w Lesznie, ul. </w:t>
      </w:r>
      <w:r w:rsidR="008A085F">
        <w:rPr>
          <w:rFonts w:ascii="Calibri" w:eastAsia="Calibri" w:hAnsi="Calibri" w:cs="Calibri"/>
          <w:kern w:val="0"/>
          <w14:ligatures w14:val="none"/>
        </w:rPr>
        <w:t xml:space="preserve">Adama </w:t>
      </w:r>
      <w:bookmarkStart w:id="0" w:name="_GoBack"/>
      <w:bookmarkEnd w:id="0"/>
      <w:r w:rsidRPr="000F50A5">
        <w:rPr>
          <w:rFonts w:ascii="Calibri" w:eastAsia="Calibri" w:hAnsi="Calibri" w:cs="Calibri"/>
          <w:kern w:val="0"/>
          <w14:ligatures w14:val="none"/>
        </w:rPr>
        <w:t>Mickiewicza 5, 64-100 Leszno.</w:t>
      </w:r>
    </w:p>
    <w:p w14:paraId="345E3829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Zamawiający wymaga, aby przedmiot zamówienia spełniał wymagane polskim i europejskim prawem wszelkie normy, posiadał dokumenty dopuszczające do obrotu na terenie Rzeczypospolitej Polskiej, posiadał niezbędne świadectwa, certyfikaty i atesty, w tym deklaracje zgodności CE.</w:t>
      </w:r>
    </w:p>
    <w:p w14:paraId="1D9D3D56" w14:textId="231C157B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Dostawa i montaż, uruchomienie i szkolenie </w:t>
      </w:r>
      <w:r w:rsidRPr="008A085F">
        <w:rPr>
          <w:rFonts w:ascii="Calibri" w:eastAsia="Calibri" w:hAnsi="Calibri" w:cs="Calibri"/>
          <w:kern w:val="0"/>
          <w14:ligatures w14:val="none"/>
        </w:rPr>
        <w:t xml:space="preserve">odbędą się w obiekcie </w:t>
      </w:r>
      <w:r w:rsidR="008A085F" w:rsidRPr="008A085F">
        <w:rPr>
          <w:rFonts w:ascii="Calibri" w:eastAsia="Calibri" w:hAnsi="Calibri" w:cs="Calibri"/>
          <w:kern w:val="0"/>
          <w14:ligatures w14:val="none"/>
        </w:rPr>
        <w:t>Akademii Nauk Stosowanych</w:t>
      </w:r>
      <w:r w:rsidRPr="008A085F">
        <w:rPr>
          <w:rFonts w:ascii="Calibri" w:eastAsia="Calibri" w:hAnsi="Calibri" w:cs="Calibri"/>
          <w:kern w:val="0"/>
          <w14:ligatures w14:val="none"/>
        </w:rPr>
        <w:t xml:space="preserve"> im. J. A. Komeńskiego w Lesznie, ul.</w:t>
      </w:r>
      <w:r w:rsidR="008A085F">
        <w:rPr>
          <w:rFonts w:ascii="Calibri" w:eastAsia="Calibri" w:hAnsi="Calibri" w:cs="Calibri"/>
          <w:kern w:val="0"/>
          <w14:ligatures w14:val="none"/>
        </w:rPr>
        <w:t xml:space="preserve"> </w:t>
      </w:r>
      <w:r w:rsidR="008A085F" w:rsidRPr="008A085F">
        <w:rPr>
          <w:rFonts w:ascii="Calibri" w:eastAsia="Calibri" w:hAnsi="Calibri" w:cs="Calibri"/>
          <w:kern w:val="0"/>
          <w14:ligatures w14:val="none"/>
        </w:rPr>
        <w:t>Adama</w:t>
      </w:r>
      <w:r w:rsidRPr="008A085F">
        <w:rPr>
          <w:rFonts w:ascii="Calibri" w:eastAsia="Calibri" w:hAnsi="Calibri" w:cs="Calibri"/>
          <w:kern w:val="0"/>
          <w14:ligatures w14:val="none"/>
        </w:rPr>
        <w:t xml:space="preserve"> Mickiewicza 5, 64-100 Leszno.</w:t>
      </w:r>
    </w:p>
    <w:p w14:paraId="3446C7D0" w14:textId="43F63FAE" w:rsid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Zamawiający nie dopuszcza dostaw kurierskich lub pocztowych bez udziału Wykonawcy.  </w:t>
      </w:r>
    </w:p>
    <w:p w14:paraId="58F5BD8B" w14:textId="77777777" w:rsidR="00770DE5" w:rsidRPr="000F50A5" w:rsidRDefault="00770DE5" w:rsidP="00770DE5">
      <w:pPr>
        <w:spacing w:after="0" w:line="360" w:lineRule="auto"/>
        <w:ind w:left="284" w:right="13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0D96D56B" w14:textId="77777777" w:rsidR="000F50A5" w:rsidRPr="000F50A5" w:rsidRDefault="000F50A5" w:rsidP="000F50A5">
      <w:pPr>
        <w:ind w:left="360"/>
        <w:rPr>
          <w:rFonts w:cstheme="minorHAnsi"/>
          <w:b/>
          <w:sz w:val="24"/>
          <w:szCs w:val="24"/>
        </w:rPr>
      </w:pPr>
    </w:p>
    <w:p w14:paraId="7D885C55" w14:textId="47C28C8D" w:rsidR="008D35F2" w:rsidRDefault="008D35F2" w:rsidP="00D52538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</w:rPr>
      </w:pPr>
      <w:r w:rsidRPr="00D52538">
        <w:rPr>
          <w:rFonts w:cstheme="minorHAnsi"/>
          <w:b/>
          <w:sz w:val="24"/>
          <w:szCs w:val="24"/>
        </w:rPr>
        <w:lastRenderedPageBreak/>
        <w:t>Przedmiot zamówienia</w:t>
      </w:r>
    </w:p>
    <w:p w14:paraId="2C620766" w14:textId="77777777" w:rsidR="000F50A5" w:rsidRPr="00D52538" w:rsidRDefault="000F50A5" w:rsidP="000F50A5">
      <w:pPr>
        <w:pStyle w:val="Akapitzlist"/>
        <w:ind w:left="284"/>
        <w:rPr>
          <w:rFonts w:cstheme="minorHAnsi"/>
          <w:b/>
          <w:sz w:val="24"/>
          <w:szCs w:val="24"/>
        </w:rPr>
      </w:pPr>
    </w:p>
    <w:p w14:paraId="466A191D" w14:textId="35E78427" w:rsidR="008D35F2" w:rsidRPr="000F50A5" w:rsidRDefault="008D35F2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Zamówieni</w:t>
      </w:r>
      <w:r w:rsidR="00625AB2" w:rsidRPr="000F50A5">
        <w:rPr>
          <w:rFonts w:cstheme="minorHAnsi"/>
        </w:rPr>
        <w:t>e</w:t>
      </w:r>
      <w:r w:rsidRPr="000F50A5">
        <w:rPr>
          <w:rFonts w:cstheme="minorHAnsi"/>
        </w:rPr>
        <w:t xml:space="preserve"> obejmuje modernizację wyposażenia audio-wizualnego Akademii Nauk Stosowanych im. Jana Amosa Komeńskiego w Lesznie. W jego zakresie </w:t>
      </w:r>
      <w:r w:rsidR="00625AB2" w:rsidRPr="000F50A5">
        <w:rPr>
          <w:rFonts w:cstheme="minorHAnsi"/>
        </w:rPr>
        <w:t>znajduje się</w:t>
      </w:r>
      <w:r w:rsidRPr="000F50A5">
        <w:rPr>
          <w:rFonts w:cstheme="minorHAnsi"/>
        </w:rPr>
        <w:t xml:space="preserve"> </w:t>
      </w:r>
      <w:r w:rsidR="00625AB2" w:rsidRPr="000F50A5">
        <w:rPr>
          <w:rFonts w:cstheme="minorHAnsi"/>
        </w:rPr>
        <w:t>demontaż</w:t>
      </w:r>
      <w:r w:rsidRPr="000F50A5">
        <w:rPr>
          <w:rFonts w:cstheme="minorHAnsi"/>
        </w:rPr>
        <w:t xml:space="preserve"> istniejąc</w:t>
      </w:r>
      <w:r w:rsidR="000D15C4" w:rsidRPr="000F50A5">
        <w:rPr>
          <w:rFonts w:cstheme="minorHAnsi"/>
        </w:rPr>
        <w:t>ych</w:t>
      </w:r>
      <w:r w:rsidRPr="000F50A5">
        <w:rPr>
          <w:rFonts w:cstheme="minorHAnsi"/>
        </w:rPr>
        <w:t xml:space="preserve"> element</w:t>
      </w:r>
      <w:r w:rsidR="000D15C4" w:rsidRPr="000F50A5">
        <w:rPr>
          <w:rFonts w:cstheme="minorHAnsi"/>
        </w:rPr>
        <w:t>ów</w:t>
      </w:r>
      <w:r w:rsidRPr="000F50A5">
        <w:rPr>
          <w:rFonts w:cstheme="minorHAnsi"/>
        </w:rPr>
        <w:t xml:space="preserve"> systemu (projektor główny, system transmisji RGBHV, konsolet</w:t>
      </w:r>
      <w:r w:rsidR="000D15C4" w:rsidRPr="000F50A5">
        <w:rPr>
          <w:rFonts w:cstheme="minorHAnsi"/>
        </w:rPr>
        <w:t>a</w:t>
      </w:r>
      <w:r w:rsidRPr="000F50A5">
        <w:rPr>
          <w:rFonts w:cstheme="minorHAnsi"/>
        </w:rPr>
        <w:t xml:space="preserve"> cyfrow</w:t>
      </w:r>
      <w:r w:rsidR="000D15C4" w:rsidRPr="000F50A5">
        <w:rPr>
          <w:rFonts w:cstheme="minorHAnsi"/>
        </w:rPr>
        <w:t>a</w:t>
      </w:r>
      <w:r w:rsidRPr="000F50A5">
        <w:rPr>
          <w:rFonts w:cstheme="minorHAnsi"/>
        </w:rPr>
        <w:t xml:space="preserve">) i w ich miejsce </w:t>
      </w:r>
      <w:r w:rsidR="00625AB2" w:rsidRPr="000F50A5">
        <w:rPr>
          <w:rFonts w:cstheme="minorHAnsi"/>
        </w:rPr>
        <w:t>montaż</w:t>
      </w:r>
      <w:r w:rsidRPr="000F50A5">
        <w:rPr>
          <w:rFonts w:cstheme="minorHAnsi"/>
        </w:rPr>
        <w:t xml:space="preserve"> fabryczn</w:t>
      </w:r>
      <w:r w:rsidR="00625AB2" w:rsidRPr="000F50A5">
        <w:rPr>
          <w:rFonts w:cstheme="minorHAnsi"/>
        </w:rPr>
        <w:t>ie nowych</w:t>
      </w:r>
      <w:r w:rsidRPr="000F50A5">
        <w:rPr>
          <w:rFonts w:cstheme="minorHAnsi"/>
        </w:rPr>
        <w:t xml:space="preserve"> urządze</w:t>
      </w:r>
      <w:r w:rsidR="00625AB2" w:rsidRPr="000F50A5">
        <w:rPr>
          <w:rFonts w:cstheme="minorHAnsi"/>
        </w:rPr>
        <w:t>ń</w:t>
      </w:r>
      <w:r w:rsidRPr="000F50A5">
        <w:rPr>
          <w:rFonts w:cstheme="minorHAnsi"/>
        </w:rPr>
        <w:t xml:space="preserve">. Dodatkowo część urządzeń (wzmacniacze i procesory DSP) należy zdemontować oraz przeprowadzić przegląd serwisowy </w:t>
      </w:r>
      <w:r w:rsidR="000D15C4" w:rsidRPr="000F50A5">
        <w:rPr>
          <w:rFonts w:cstheme="minorHAnsi"/>
        </w:rPr>
        <w:t>z</w:t>
      </w:r>
      <w:r w:rsidRPr="000F50A5">
        <w:rPr>
          <w:rFonts w:cstheme="minorHAnsi"/>
        </w:rPr>
        <w:t xml:space="preserve"> eliminacj</w:t>
      </w:r>
      <w:r w:rsidR="000D15C4" w:rsidRPr="000F50A5">
        <w:rPr>
          <w:rFonts w:cstheme="minorHAnsi"/>
        </w:rPr>
        <w:t>ą</w:t>
      </w:r>
      <w:r w:rsidRPr="000F50A5">
        <w:rPr>
          <w:rFonts w:cstheme="minorHAnsi"/>
        </w:rPr>
        <w:t xml:space="preserve"> potencjalnych uszkodzeń oraz czyszczenie.</w:t>
      </w:r>
    </w:p>
    <w:p w14:paraId="08BD25DD" w14:textId="59A5929E" w:rsidR="001F4411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Zakres zamówienia obejmuje również montaż okablowania sygnałowego w jednej sali wykładowej oraz wymianę system</w:t>
      </w:r>
      <w:r w:rsidR="000D15C4" w:rsidRPr="000F50A5">
        <w:rPr>
          <w:rFonts w:cstheme="minorHAnsi"/>
        </w:rPr>
        <w:t>u</w:t>
      </w:r>
      <w:r w:rsidRPr="000F50A5">
        <w:rPr>
          <w:rFonts w:cstheme="minorHAnsi"/>
        </w:rPr>
        <w:t xml:space="preserve"> audiowizualnego w Sali Senatu.</w:t>
      </w:r>
    </w:p>
    <w:p w14:paraId="0C229A1D" w14:textId="0A38BCBD" w:rsidR="001F4411" w:rsidRPr="000F50A5" w:rsidRDefault="001F4411" w:rsidP="00452075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0F50A5">
        <w:rPr>
          <w:rFonts w:cstheme="minorHAnsi"/>
          <w:b/>
        </w:rPr>
        <w:t>Aula</w:t>
      </w:r>
    </w:p>
    <w:p w14:paraId="4D9EEBDD" w14:textId="17294230" w:rsidR="001F4411" w:rsidRPr="000F50A5" w:rsidRDefault="008D35F2" w:rsidP="001F4411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Zestawienie urządzeń demontowanych</w:t>
      </w:r>
    </w:p>
    <w:p w14:paraId="5D458C57" w14:textId="4CA4D789" w:rsidR="008D35F2" w:rsidRPr="000F50A5" w:rsidRDefault="008D35F2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Należy w sposób nienaruszający instalacje i pozostałe urządzenia zdemontować następujące elementy systemu:</w:t>
      </w:r>
    </w:p>
    <w:tbl>
      <w:tblPr>
        <w:tblW w:w="8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1340"/>
        <w:gridCol w:w="2320"/>
        <w:gridCol w:w="960"/>
      </w:tblGrid>
      <w:tr w:rsidR="001F4411" w:rsidRPr="00374894" w14:paraId="79A969A5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FB14E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5CFFC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Producent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CCB7A0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AD628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</w:t>
            </w:r>
          </w:p>
        </w:tc>
      </w:tr>
      <w:tr w:rsidR="001F4411" w:rsidRPr="00374894" w14:paraId="7F426C79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DD45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Projektor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8380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Sanyo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A7A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XF-47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5DE9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61D8089D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8B0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Obiektyw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FA70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Sanyo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DA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LNS-M01Z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53D6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792FD263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6100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Karta rozszerzeń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168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Sanyo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58B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POA-MD13NET2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94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45B11B22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1441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Konsoleta cyfrowa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D7DB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Yamaha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C906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01V96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A43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5C679215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C2B1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Panel dotykowy 12"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C3E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AF2A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touchCUE-12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8D9E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0AFABB1D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580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Moduł wykonawczy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91F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7E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903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</w:tbl>
    <w:p w14:paraId="227198E9" w14:textId="4601449A" w:rsidR="001F4411" w:rsidRPr="00374894" w:rsidRDefault="001F4411" w:rsidP="008D35F2">
      <w:pPr>
        <w:jc w:val="both"/>
        <w:rPr>
          <w:rFonts w:cstheme="minorHAnsi"/>
          <w:sz w:val="24"/>
          <w:szCs w:val="24"/>
        </w:rPr>
      </w:pPr>
    </w:p>
    <w:p w14:paraId="037802C8" w14:textId="6ACB484B" w:rsidR="001F4411" w:rsidRPr="000F50A5" w:rsidRDefault="001F4411" w:rsidP="001F4411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Zestawienie urządzeń demontowanych i serwisowanych</w:t>
      </w:r>
    </w:p>
    <w:p w14:paraId="14B3B86E" w14:textId="2F90179D" w:rsidR="00625AB2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Należy w sposób nienaruszający instalacje i pozostałe urządzenia zdemontować następujące elementy systemu, dokonać przeglądu serwisowego i ponownie zamontować:</w:t>
      </w:r>
    </w:p>
    <w:tbl>
      <w:tblPr>
        <w:tblW w:w="8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340"/>
        <w:gridCol w:w="2320"/>
        <w:gridCol w:w="960"/>
      </w:tblGrid>
      <w:tr w:rsidR="001F4411" w:rsidRPr="00374894" w14:paraId="21806001" w14:textId="77777777" w:rsidTr="001F4411">
        <w:trPr>
          <w:trHeight w:val="32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C9BC7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4F9577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Producent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25E29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72144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</w:t>
            </w:r>
          </w:p>
        </w:tc>
      </w:tr>
      <w:tr w:rsidR="001F4411" w:rsidRPr="00374894" w14:paraId="2D5FA4E4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E09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Procesor DSP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378A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BSSAudio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5B8E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BLU-160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6028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12157548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87CF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Rozszerzenie procesora DSP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6E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BSSAudio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98BD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BLU-BOB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152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6629B134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115D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Wzmacniacz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E31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CBD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STA-3000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77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1F4411" w:rsidRPr="00374894" w14:paraId="522688A1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FF97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Wzmacniacz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CAF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ED79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STA-2200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01C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1F4411" w:rsidRPr="00374894" w14:paraId="683E28EF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6CD2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Wzmacniacz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701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D8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STA-1400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3A0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1F4411" w:rsidRPr="00374894" w14:paraId="39840A40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43AC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Wzmacniacz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81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B89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STA-800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6F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</w:tbl>
    <w:p w14:paraId="50CE56CC" w14:textId="77777777" w:rsidR="001F4411" w:rsidRPr="00374894" w:rsidRDefault="001F4411" w:rsidP="008D35F2">
      <w:pPr>
        <w:jc w:val="both"/>
        <w:rPr>
          <w:rFonts w:cstheme="minorHAnsi"/>
          <w:sz w:val="24"/>
          <w:szCs w:val="24"/>
        </w:rPr>
      </w:pPr>
    </w:p>
    <w:p w14:paraId="263CE157" w14:textId="4042B736" w:rsidR="001F4411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Usługa serwisowa powinna uwzględniać wgranie nowego oprogramowania układowego procesora DSP i jego rozszerzenia.</w:t>
      </w:r>
    </w:p>
    <w:p w14:paraId="04D4CE7C" w14:textId="7AC921E4" w:rsidR="001F4411" w:rsidRPr="000F50A5" w:rsidRDefault="001F4411" w:rsidP="008D35F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Projektor</w:t>
      </w:r>
    </w:p>
    <w:p w14:paraId="56B0F874" w14:textId="4AA96570" w:rsidR="001F4411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Użytkowany dotychczas projektor lampowy Sanyo XF47 należy zdemontować i zastąpić urządzeniem laserowym o bardzo dużej jasności oraz źród</w:t>
      </w:r>
      <w:r w:rsidR="00625AB2" w:rsidRPr="000F50A5">
        <w:rPr>
          <w:rFonts w:cstheme="minorHAnsi"/>
        </w:rPr>
        <w:t>le</w:t>
      </w:r>
      <w:r w:rsidRPr="000F50A5">
        <w:rPr>
          <w:rFonts w:cstheme="minorHAnsi"/>
        </w:rPr>
        <w:t xml:space="preserve"> światła o żywotności min. 20 000 godzin. W zakresie zamówienia znajduje się również </w:t>
      </w:r>
      <w:r w:rsidR="000D15C4" w:rsidRPr="000F50A5">
        <w:rPr>
          <w:rFonts w:cstheme="minorHAnsi"/>
        </w:rPr>
        <w:t xml:space="preserve">przystosowanie </w:t>
      </w:r>
      <w:r w:rsidRPr="000F50A5">
        <w:rPr>
          <w:rFonts w:cstheme="minorHAnsi"/>
        </w:rPr>
        <w:t xml:space="preserve">stojaka do nowego urządzenia biorąc pod uwagę jego wymiary zewnętrzne, </w:t>
      </w:r>
      <w:r w:rsidR="00625AB2" w:rsidRPr="000F50A5">
        <w:rPr>
          <w:rFonts w:cstheme="minorHAnsi"/>
        </w:rPr>
        <w:t xml:space="preserve">oś </w:t>
      </w:r>
      <w:r w:rsidRPr="000F50A5">
        <w:rPr>
          <w:rFonts w:cstheme="minorHAnsi"/>
        </w:rPr>
        <w:t xml:space="preserve"> obiektywu oraz wagę.</w:t>
      </w:r>
    </w:p>
    <w:p w14:paraId="13C7AA44" w14:textId="2277AB7F" w:rsidR="001F4411" w:rsidRPr="000F50A5" w:rsidRDefault="001F4411" w:rsidP="008D35F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System transmisji sygnału dźwięku i obrazu</w:t>
      </w:r>
    </w:p>
    <w:p w14:paraId="7CAE3DC0" w14:textId="265733A1" w:rsidR="001F4411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 xml:space="preserve">Zamontowany system transmisji sygnałów wizyjnych oparty o przewody i matrycę RGBHV należy zastąpić rozwiązaniem umożliwiającym przesyłanie cyfrowego obrazu wysokiej rozdzielczości wykorzystującego sieć IP. Zaproponowane rozwiązanie musi pozwolić na </w:t>
      </w:r>
      <w:r w:rsidR="00B648F0" w:rsidRPr="000F50A5">
        <w:rPr>
          <w:rFonts w:cstheme="minorHAnsi"/>
        </w:rPr>
        <w:t>jednoczesną transmisję obrazu i dźwięku pobierając sygnał z komputera lub innego źródła poprzez złącze HDMI. W systemie muszą się znaleźć również odbiorniki audio dostarczające niezależnie sygnał do systemu nagłośnienia. Rozwiązanie musi posiadać funkcję detekcji braku sygnału, któr</w:t>
      </w:r>
      <w:r w:rsidR="00625AB2" w:rsidRPr="000F50A5">
        <w:rPr>
          <w:rFonts w:cstheme="minorHAnsi"/>
        </w:rPr>
        <w:t>a</w:t>
      </w:r>
      <w:r w:rsidR="00B648F0" w:rsidRPr="000F50A5">
        <w:rPr>
          <w:rFonts w:cstheme="minorHAnsi"/>
        </w:rPr>
        <w:t xml:space="preserve"> będzie pozwalała na </w:t>
      </w:r>
      <w:r w:rsidR="00625AB2" w:rsidRPr="000F50A5">
        <w:rPr>
          <w:rFonts w:cstheme="minorHAnsi"/>
        </w:rPr>
        <w:t>zidentyfikowanie</w:t>
      </w:r>
      <w:r w:rsidR="00B648F0" w:rsidRPr="000F50A5">
        <w:rPr>
          <w:rFonts w:cstheme="minorHAnsi"/>
        </w:rPr>
        <w:t xml:space="preserve"> tego stanu przez system centralnego sterowania i automatyczne wyłączenie systemu.</w:t>
      </w:r>
    </w:p>
    <w:p w14:paraId="0CDD58C9" w14:textId="6293C9F5" w:rsidR="00625AB2" w:rsidRPr="000F50A5" w:rsidRDefault="00625AB2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System transmisji należy również rozszerzyć o możliwość transmisji bezprzewodowej obrazu i dźwięku na powierzchni sceny.</w:t>
      </w:r>
    </w:p>
    <w:p w14:paraId="48016CFF" w14:textId="1E64EC6E" w:rsidR="00B648F0" w:rsidRPr="000F50A5" w:rsidRDefault="00B648F0" w:rsidP="00B648F0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System nagłośnienia</w:t>
      </w:r>
    </w:p>
    <w:p w14:paraId="04671127" w14:textId="52A8725C" w:rsidR="00A744FA" w:rsidRPr="000F50A5" w:rsidRDefault="00B648F0" w:rsidP="00B648F0">
      <w:pPr>
        <w:jc w:val="both"/>
        <w:rPr>
          <w:rFonts w:cstheme="minorHAnsi"/>
        </w:rPr>
      </w:pPr>
      <w:r w:rsidRPr="000F50A5">
        <w:rPr>
          <w:rFonts w:cstheme="minorHAnsi"/>
        </w:rPr>
        <w:t>Zamontowaną w reżyserce cyfrową konsoletę Yamaha 01V96 należy zdemontować i dostarczyć nową konsoletę cyfrową umożliwiającą komunikację w sieci audio. System należy rozszerzyć o dodatkowe zestawy przetworników analogowo-cyfrowych i cyfrowo-analogowych</w:t>
      </w:r>
      <w:r w:rsidR="00625AB2" w:rsidRPr="000F50A5">
        <w:rPr>
          <w:rFonts w:cstheme="minorHAnsi"/>
        </w:rPr>
        <w:t>,</w:t>
      </w:r>
      <w:r w:rsidR="00A744FA" w:rsidRPr="000F50A5">
        <w:rPr>
          <w:rFonts w:cstheme="minorHAnsi"/>
        </w:rPr>
        <w:t xml:space="preserve"> z których dwa będą zamontowane na scenie, a trzeci umieszczony w szafie sprzętowej znajdującej się w reżyserce. Za pomocą tego urządzenia sygnał audio będzie dostarczany do procesora DSP i jednocześnie odbierany z odbiorników mikrofonów bezprzewodowych.</w:t>
      </w:r>
    </w:p>
    <w:p w14:paraId="3BE3D50C" w14:textId="2E068542" w:rsidR="00A744FA" w:rsidRPr="000F50A5" w:rsidRDefault="00A744FA" w:rsidP="00B648F0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System sterowania</w:t>
      </w:r>
    </w:p>
    <w:p w14:paraId="7431F47A" w14:textId="7C1B55C9" w:rsidR="00A744FA" w:rsidRPr="000F50A5" w:rsidRDefault="00A744FA" w:rsidP="00B648F0">
      <w:pPr>
        <w:jc w:val="both"/>
        <w:rPr>
          <w:rFonts w:cstheme="minorHAnsi"/>
        </w:rPr>
      </w:pPr>
      <w:r w:rsidRPr="000F50A5">
        <w:rPr>
          <w:rFonts w:cstheme="minorHAnsi"/>
        </w:rPr>
        <w:t xml:space="preserve">W zamontowanym systemie centralnego sterowania należy wymienić moduły wykonawcze oraz stołowy panel dotykowy umieszczony w reżyserce. </w:t>
      </w:r>
      <w:r w:rsidR="00625AB2" w:rsidRPr="000F50A5">
        <w:rPr>
          <w:rFonts w:cstheme="minorHAnsi"/>
        </w:rPr>
        <w:t>N</w:t>
      </w:r>
      <w:r w:rsidRPr="000F50A5">
        <w:rPr>
          <w:rFonts w:cstheme="minorHAnsi"/>
        </w:rPr>
        <w:t xml:space="preserve">ależy </w:t>
      </w:r>
      <w:r w:rsidR="00625AB2" w:rsidRPr="000F50A5">
        <w:rPr>
          <w:rFonts w:cstheme="minorHAnsi"/>
        </w:rPr>
        <w:t xml:space="preserve">również </w:t>
      </w:r>
      <w:r w:rsidRPr="000F50A5">
        <w:rPr>
          <w:rFonts w:cstheme="minorHAnsi"/>
        </w:rPr>
        <w:t xml:space="preserve">rozszerzyć zakres jego działania poprzez montaż dodatkowego panelu sterującego na scenie oraz o możliwość sterowania poprzez urządzenia mobilne (np. telefony lub tablety z systemami Android, iOS lub </w:t>
      </w:r>
      <w:r w:rsidR="00625AB2" w:rsidRPr="000F50A5">
        <w:rPr>
          <w:rFonts w:cstheme="minorHAnsi"/>
        </w:rPr>
        <w:t>W</w:t>
      </w:r>
      <w:r w:rsidRPr="000F50A5">
        <w:rPr>
          <w:rFonts w:cstheme="minorHAnsi"/>
        </w:rPr>
        <w:t>indows).</w:t>
      </w:r>
    </w:p>
    <w:p w14:paraId="0CA58542" w14:textId="3ACE7914" w:rsidR="00A744FA" w:rsidRPr="000F50A5" w:rsidRDefault="00A744FA" w:rsidP="00B648F0">
      <w:pPr>
        <w:jc w:val="both"/>
        <w:rPr>
          <w:rFonts w:cstheme="minorHAnsi"/>
        </w:rPr>
      </w:pPr>
      <w:r w:rsidRPr="000F50A5">
        <w:rPr>
          <w:rFonts w:cstheme="minorHAnsi"/>
        </w:rPr>
        <w:t>Funkcjonalność systemu należy również rozszerzyć o możliwość zdalnego wyłączenia i włączenia całego systemu z dowolnego miejsca poprzez sieć Internet z wykorzystaniem usługi w chmurze.</w:t>
      </w:r>
    </w:p>
    <w:p w14:paraId="53CC2FB4" w14:textId="05D77C97" w:rsidR="00A744FA" w:rsidRPr="000F50A5" w:rsidRDefault="00A744FA" w:rsidP="00A744FA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Pozostałe elementy wyposażenia</w:t>
      </w:r>
    </w:p>
    <w:p w14:paraId="09140E2D" w14:textId="5B526DA4" w:rsidR="006D7DB2" w:rsidRPr="000F50A5" w:rsidRDefault="00A744FA" w:rsidP="00A744FA">
      <w:pPr>
        <w:jc w:val="both"/>
        <w:rPr>
          <w:rFonts w:cstheme="minorHAnsi"/>
        </w:rPr>
      </w:pPr>
      <w:r w:rsidRPr="000F50A5">
        <w:rPr>
          <w:rFonts w:cstheme="minorHAnsi"/>
        </w:rPr>
        <w:t>Wyposażenie auli należy rozszerzyć o dodatkowe mikrofony bezprzewodowe, przewodowe</w:t>
      </w:r>
      <w:r w:rsidR="00E81576" w:rsidRPr="000F50A5">
        <w:rPr>
          <w:rFonts w:cstheme="minorHAnsi"/>
        </w:rPr>
        <w:t>, statywy i inne elementy wspomagające pracę na scenie.</w:t>
      </w:r>
    </w:p>
    <w:p w14:paraId="14E7F2C2" w14:textId="2FD268EE" w:rsidR="00E81576" w:rsidRPr="000F50A5" w:rsidRDefault="00E81576" w:rsidP="00E81576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Instalacja, montaż i uruchomienie</w:t>
      </w:r>
    </w:p>
    <w:p w14:paraId="217D200B" w14:textId="305E38F1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>Zamówienie obejmuje montaż nowego okablowania strukturalnego łączącego wszystkie punkty sygnałowe w głównej części auli oraz przyłączanych salach bocznych. Punkty należy</w:t>
      </w:r>
      <w:r w:rsidRPr="00374894">
        <w:rPr>
          <w:rFonts w:cstheme="minorHAnsi"/>
          <w:sz w:val="24"/>
          <w:szCs w:val="24"/>
        </w:rPr>
        <w:t xml:space="preserve"> zakończyć </w:t>
      </w:r>
      <w:r w:rsidRPr="000F50A5">
        <w:rPr>
          <w:rFonts w:cstheme="minorHAnsi"/>
        </w:rPr>
        <w:t>odpowiednimi przyłączami lub końcówkami. Całe okablowanie musi spełniać wymogi kat.6.</w:t>
      </w:r>
    </w:p>
    <w:p w14:paraId="101E354F" w14:textId="4BD447C2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>W tylnej środkowej części widowni należy zdemontować część krzesełek oraz w ich miejsce zamontować podesty umożliwiające wyrównanie podłogi i postawienie stołów dla miksera audio.</w:t>
      </w:r>
    </w:p>
    <w:p w14:paraId="57660432" w14:textId="0B1B3A60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>Wszystkie zamontowane i nowe urządzenia systemu sterowania należy przeprogramować dostosowując do nowych elementów zamontowanych w systemach audio i wideo.</w:t>
      </w:r>
    </w:p>
    <w:p w14:paraId="4306407B" w14:textId="21952412" w:rsidR="00E81576" w:rsidRPr="000F50A5" w:rsidRDefault="00E81576" w:rsidP="006D7DB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0F50A5">
        <w:rPr>
          <w:rFonts w:cstheme="minorHAnsi"/>
          <w:b/>
        </w:rPr>
        <w:t>Sala 225</w:t>
      </w:r>
    </w:p>
    <w:p w14:paraId="4D3011AE" w14:textId="5BA19E72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 xml:space="preserve">W pomieszczeniu należy zamontować nowe okablowanie strukturalne pomiędzy komputerem w biurku i projektorem oraz </w:t>
      </w:r>
      <w:r w:rsidR="007E5925" w:rsidRPr="000F50A5">
        <w:rPr>
          <w:rFonts w:cstheme="minorHAnsi"/>
        </w:rPr>
        <w:t xml:space="preserve">zamontować </w:t>
      </w:r>
      <w:r w:rsidRPr="000F50A5">
        <w:rPr>
          <w:rFonts w:cstheme="minorHAnsi"/>
        </w:rPr>
        <w:t xml:space="preserve"> konwertery umożliwiające transmisję sygnału </w:t>
      </w:r>
      <w:proofErr w:type="spellStart"/>
      <w:r w:rsidRPr="000F50A5">
        <w:rPr>
          <w:rFonts w:cstheme="minorHAnsi"/>
        </w:rPr>
        <w:t>FullHD</w:t>
      </w:r>
      <w:proofErr w:type="spellEnd"/>
      <w:r w:rsidRPr="000F50A5">
        <w:rPr>
          <w:rFonts w:cstheme="minorHAnsi"/>
        </w:rPr>
        <w:t xml:space="preserve"> z wykorzystaniem standardu HDMI.</w:t>
      </w:r>
    </w:p>
    <w:p w14:paraId="4460476D" w14:textId="5BC23612" w:rsidR="00E81576" w:rsidRPr="000F50A5" w:rsidRDefault="00E81576" w:rsidP="00E81576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0F50A5">
        <w:rPr>
          <w:rFonts w:cstheme="minorHAnsi"/>
          <w:b/>
        </w:rPr>
        <w:t>Sala Senatu</w:t>
      </w:r>
    </w:p>
    <w:p w14:paraId="79F83341" w14:textId="76968221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>W pomieszczeniu należy wymienić obecnie zamontowane elementy systemu audiowizualnego, włączając w to elektrycznie rozwijany ekran, głośniki sufitowe, projektor oraz wzmacniacz mocy i w ich miejsce zamontować fabrycznie nowe urządzenia. Funkcjonalność pomieszczenia należy rozszerzyć o możliwość transmisji bezprzewodowej oraz system mikrofonów bezprzewodowych.</w:t>
      </w:r>
    </w:p>
    <w:p w14:paraId="12046375" w14:textId="77777777" w:rsidR="00625AB2" w:rsidRPr="00374894" w:rsidRDefault="00625AB2" w:rsidP="00E81576">
      <w:pPr>
        <w:jc w:val="both"/>
        <w:rPr>
          <w:rFonts w:cstheme="minorHAnsi"/>
          <w:sz w:val="24"/>
          <w:szCs w:val="24"/>
        </w:rPr>
      </w:pPr>
    </w:p>
    <w:p w14:paraId="3F6CACF4" w14:textId="5C594093" w:rsidR="00E97D92" w:rsidRPr="006D7DB2" w:rsidRDefault="00625AB2" w:rsidP="00625AB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4"/>
          <w:szCs w:val="24"/>
        </w:rPr>
      </w:pPr>
      <w:r w:rsidRPr="006D7DB2">
        <w:rPr>
          <w:rFonts w:cstheme="minorHAnsi"/>
          <w:b/>
          <w:sz w:val="24"/>
          <w:szCs w:val="24"/>
        </w:rPr>
        <w:t>Zestawienie urządzeń wchodzących w zakres zamówienia</w:t>
      </w:r>
    </w:p>
    <w:tbl>
      <w:tblPr>
        <w:tblW w:w="10632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962"/>
        <w:gridCol w:w="1299"/>
        <w:gridCol w:w="1541"/>
      </w:tblGrid>
      <w:tr w:rsidR="00995D32" w:rsidRPr="00374894" w14:paraId="3162C224" w14:textId="2FDE1ADF" w:rsidTr="00995D32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44EB" w14:textId="70BD6424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Aula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7F9" w14:textId="09C0E89B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95D32" w:rsidRPr="00374894" w14:paraId="056F6444" w14:textId="4DD3B8ED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BE9F9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FD4CC2" w14:textId="55DC18AA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F378D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4E6A4479" w14:textId="7F5D184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producenta oraz model</w:t>
            </w:r>
          </w:p>
        </w:tc>
      </w:tr>
      <w:tr w:rsidR="00995D32" w:rsidRPr="00374894" w14:paraId="4BB40504" w14:textId="5DD1B0C5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32D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Projektor 20 000 ANSI lumenów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F79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Projektor o laserowym źródle światła,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musi wykorzystywać min. 2 różne kolory diod laserowych,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Technologia DLP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Jasność min. 20 500 ANSI lumenów w trybie normalnym,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natywna min. 1920x1200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Żywotność źródła światła min. 20 000 godzin,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zastosowania wymiennych obiektywów,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przesuwania obiektywu,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2 wejścia HDMI,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 wejście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 wejście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HDBaseT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 wejście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RS232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Waga maksymalnie 52 kg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2C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7551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1B8CDDA" w14:textId="0D0890A1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A2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Obiektyw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46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Obiektyw pozwalający na uzyskanie obrazu o szerokości 6 m z odległości 21 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69D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1D3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54719CE6" w14:textId="6BEAD80A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EF2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Modyfikacja stojaka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6AA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Modyfikacja istniejącego stojaka z projektorem Sanyo XF47 pozwalająca na montaż Projektora 20 000 ANSI lumenów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E8B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EEAA6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30151C98" w14:textId="592CB540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122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Nadajnika HDMI/IP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198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 sygnału HDMI do postaci strumienia IP,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rozdzielczości do min. 4096x2160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sterowania CEC,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zabezpieczenia HDCP 2.2,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HDMI wejściowy,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HDMI wyjściowy powtarzający obraz z wejścia,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RS232,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poglądu strumienia za pomocą interfejsu www,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pracy w konfiguracji punkt-punkt, punkt-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wielepunktów-wielepunktów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detekcji podłączonego sygnału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DA5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2350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1448F02" w14:textId="582888FC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C1E6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HDMI/IP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546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 strumienia IP do sygnału HDMI,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rozdzielczości do min. 4096x2160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sterowania CEC,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zabezpieczenia HDCP 2.2,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HDMI wyjściowy,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RS232,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wyjściowy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poglądu strumienia za pomocą interfejsu www,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pracy w konfiguracji punkt-punkt, punkt-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wielepunktów-wielepunktów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751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BFDA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7F6B1EE" w14:textId="1ADF65F6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42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audio/IP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1E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 strumienia IP do sygnału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RS232,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wyjściowy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pracy w konfiguracji punkt-punkt, punkt-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wielepunktów-wielepunktów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B7F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743D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285F6FE" w14:textId="39D369A6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CA5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 sieciowy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F4A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 sieciowy warstwy L3,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IGMP,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Obsługa Jumbo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frames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VLAN-ów,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24 porty RJ45 w standardzie 1000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Mbit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Obsługa zasilania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min. budżet 200 W,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C3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8E28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FFD2FFA" w14:textId="6466BA4B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A6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Sterownik systemu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49E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Programowalny sterownik systemu sterowania,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Kompatybilny z panelami zamontowanymi w pomieszczeniach Auli i w Reżyserce, w przypadku braku kompatybilności należy wymienić te urządzenia na inne o nie mniejszych wymiarach,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8 portów nadawczych IR,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6 dwukierunkowych portów RS232/RS422/RS485,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4 wyjścia przekaźnikowe,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8 portów GPIO,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Sterowanie i programowanie poprzez interfejs sieciowy,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sterowania za pomocą aplikacji na urządzania mobilne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4D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5AF1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92C955B" w14:textId="791A7851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46D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Aplikacja dla urządzeń mobilnych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6DD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Licencja aplikacji na urządzenia mobilne dla sterownika systemu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5A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6A46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368C578D" w14:textId="535DC953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822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dotykowy stołowy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C21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dotykowy systemu sterowania,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Przekątna wyświetlacza min. 10",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Nakładka dotykowa pojemnościowa,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min. 1280x800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Zasilanie poprzez interfejs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Dowolnie programowalny wygląd aplikacji sterującej,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Kompatybilny z panelami już zamontowanymi w pomieszczeniach auli i reżyserki,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7AF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1610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A6D5035" w14:textId="5FF4F8C7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A8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dotykowy ścienny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DB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dotykowy systemu sterowania,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Przekątna wyświetlacza min. 7",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Nakładka dotykowa pojemnościowa,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min. 1280x800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Zasilanie poprzez interfejs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Dowolnie programowalny wygląd aplikacji sterującej,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Kompatybilny z panelami już zamontowanymi w pomieszczeniach auli i reżyserki,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BE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8C7F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7763C2B2" w14:textId="0A1BB76E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91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Moduł wykonawczy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F41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Moduł wykonawczy,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8 przekaźników o obciążalności min. 10A,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połowa przekaźników musi udostępniać oba styki Normalnie Zamknięty i Normalnie Otwarty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Sterowanie za pomocą portu RS485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E3C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8BDF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7ABBAEF" w14:textId="3B7D9A9B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77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do wyłączania systemu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35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przekaźnikowy wraz z oprogramowaniem w chmurze pozwalający na zdalne poprzez sieć Internet wyzwolenie funkcji wyłączenia całego systemu wraz z odłączeniem zasilania,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komplecie z modułem należy dostarczyć zestaw styczników sterujących zasilaniem szafy sterującej z pominięciem sterownika systemu,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zestawie należy uwzględnić modyfikację oprogramowania systemu sterowania implementująca tą funkcję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6D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10446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6716F9EA" w14:textId="282DD4B6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188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Cyfrowa konsoleta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5C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Cyfrowa konsoleta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min. 48 kanałów wejściowych,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16 szyn stereo,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Wbudowana matryca 10x8,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21 potencjometrów suwakowych,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2 dotykowe wyświetlacze konfiguracyjne o przekątnej min. 10",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24 wejścia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mikrofonowo-liniowe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zasilaniem Phantom,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Praca przy częstotliwości próbkowania min. 96 kHz,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interfejs USB do komunikacji z komputerem o pojemności min. 48 kanałów,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standardu DANTE poprzez wbudowany interfejs lub montaż dodatkowej karty rozszerzającej,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procesor efektów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33E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6177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9C0DF23" w14:textId="78FE3545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78A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przetworników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4EB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przetworników analogowo-cyfrowych i cyfrowo-analogowych,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16 wejść symetrycznych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mikrofonowo-liniowych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zasilaniem Phantom,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8 wyjść liniowych symetrycznych,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Port DANTE,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standardu AES67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BEE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E957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116E935" w14:textId="20CA1111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EE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Skrzynia transportowa do miksera Yamaha 01V96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9A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Skrzynia transportowa do Yamahy 01V96 (mikser znajduje się w posiadaniu zamawiającego)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90A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D6A2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4CBFA1AD" w14:textId="4EDF389B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E1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DANTE-BLU-Link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396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Moduł rozszerzający z interfejsem DANTE zainstalowanego w reżyserce procesora DSP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BSSAudio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BLU-80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1B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B809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5B6412AC" w14:textId="56D1932C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558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Bluetooth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A9D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sygnału audio w standardzie Bluetooth,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wyjście analogowe symetryczne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9B3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7E92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033EC54E" w14:textId="67888C21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493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Transmisja bezprzewodowa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CE8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bezprzewodowego współdzielenia treści,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Obsługiwane maksymalne rozdzielczości min. 4K UHD (3840*2160p),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wyjście HDMI Liczba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Dedykowane nadajniki USB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D7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4BDB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4399D7B" w14:textId="259E9BED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F0F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Bluetooth/Dante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07D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Dante pozwalający na odbieranie sygnału w standardzie Bluetooth i przesłanie za pomocą sieci IP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D0F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9E8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63FACDFB" w14:textId="6E5F5DB0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3F2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 HDMI automatyczny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130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Automatyczny przełącznik HDMI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wejść HDMI min.3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wyjść HDMI min. 1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Obsługiwany standard HDMI 1.3b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Obsługiwane rozdzielczości min.720p i 1080p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automatycznego przełączania źródła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9B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A1A4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4F285DE5" w14:textId="41EFF56E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F89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 HDMI przy mikserze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91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Matrycowy przełącznik HDMI,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4 porty HDMI wejściowe,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4 porty HDMI wyjściowe,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sterowania za pomocą klawiatury lub systemu sterowania za pomocą portu RS232 i Ethernet,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rozdzielczości 4096 x 2160 @ 60Hz (4: 4: 4)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95A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767A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7704C64" w14:textId="0A408B0D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A7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dynamiczny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B92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dynamiczny,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Czułość min. 1,6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/Pa,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Charakterystyka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kardioidalna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 zakresie nie  mniejszym niż 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- 15 kHz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11F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31E3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7D4547B6" w14:textId="034B933B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94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pojemnościowy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33E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pojemnościowy,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Czułość min. 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/Pa,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Charakterystyka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kardioidalna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 zakresie nie  mniejszym niż 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- 20 kHz,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97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F11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5878AE13" w14:textId="333CAABE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DC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bezprzewodowy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A5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mikrofonu bezprzewodowego z nadajnikiem ręcznym,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podłączenia zewnętrznych anten,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montażu w szafie w standardzie RACK19",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Praca w paśmie poniżej 700 MHz,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Nadajnik ręczny z kapsułą dynamiczną,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Czułość wkładki mikrofonu min. 1,6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/Pa,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Charakterystyka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kardioidalna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wkładki mikrofonu w zakresie nie  mniejszym niż 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- 15 kHz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7DB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F0C0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727D469" w14:textId="742CA73D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6C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Skrzynia RACK do mikrofonów bezprzewodowych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A8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Skrzynia transportowa dla dwóch kompletów mikrofonu bezprzewodowego w standardzie RACK19"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15D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D71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72EB6318" w14:textId="0400074A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FA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Statyw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379E" w14:textId="34504CFC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Statyw do mikrofonu - typ "żuraw".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wysokość regulowana w zakresie min:100cm max:230cm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nóżki zakończone nasadką gumową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ramię poziome 70cm, zakończone gwintem 3/8"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podstawa składana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waga nie większa niż 3,2kg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A8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4607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3BA754DD" w14:textId="5E94E8F4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8B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Przewód XLR-XLR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0A9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Przewód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złącze XLR męskie,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złącze XLR żeńskie,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Długość min. 10 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463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9B5E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7E35C51C" w14:textId="1C852469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95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Aktywny zestaw głośnikowy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29C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głośnikowy dwudrożny,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 głośnik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niskotonowy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 średnicy min. 15",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 1 głośnik wysokotonowy ciśnieniowy 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Kąt propagacji w poziomie 90 stopni (+/- 10 stopni),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Kąt propagacji w pionie  40 stopni (+/- 10 stopni),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Maksymalny poziom SPL nie mniejszy niż 127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 zakresie nie mniejszym niż od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20 kHz (-3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dwukanałowy wzmacniacz moc sumarycznej o mocy min. 500 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odbiornik Bluetooth,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mikser,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procesor DSP z możliwością sterowania za pomocą aplikacji na telefonie,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montażu na statywie,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Waga nie większa niż 19 kg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5B3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2856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09CA849" w14:textId="39553955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C09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Serwis wzmacniaczy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07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Usługa przeglądu serwisowego dla posiadanych przez zamawiającego wzmacniaczy mocy firmy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59B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5351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50EAAAA" w14:textId="32528A93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BF8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Serwis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BSSAudio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58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Usługa przeglądu serwisowego dla posiadanych przez zamawiającego procesorów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BSSAudio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BLU-80 i BLU-120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E63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AED5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5AC72437" w14:textId="0990D8F6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C7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Podest sceniczny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74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 zdemontować siedzenia na  środku widowni i zastąpić je podestami wyrównującymi się z podłogą w przejściu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0BE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0167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927A694" w14:textId="73CB409A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36C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Okablowanie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61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okablowania teleinformatycznego kat. 6A z reżyserki do następujących miejsc: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scena - min. 6 linii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miejsce pracy operatora na widowni - min. 12 linii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na ścianie przy biurkach w bocznych salach wykładowych - w każdym punkcie min. 4 linie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Wszystkie punkty zakończone gniazdami natynkowymi,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szafie instalacja zakończona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patchpanelem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72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A3E9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4B129906" w14:textId="07BF2CCD" w:rsidTr="00995D32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2015" w14:textId="4D802882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 225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C1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95D32" w:rsidRPr="00374894" w14:paraId="42958DAE" w14:textId="790CBFD5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3855B6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0FC77F" w14:textId="6A65B3AB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3EB3D26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792851A6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616BC3F" w14:textId="1AD15680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32D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Wieszak projektora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1C4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Długość dostosowana do wysokości sufitu podwieszanego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Dopuszczalny udźwig  min. 11 kg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E04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0367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5FD1DDC5" w14:textId="7965E4B1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17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D3F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Obsługiwany rozdzielczości 1080p, 1080i, 720p, 576p, 576i, 480p, 480i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Maksymalny zasięg dla sygnału 1080p z wykorzystaniem przewodu UTP kat. 6 min. 40 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komplecie dwa zasilacze dla odbiornika i nadajnika.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5C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3518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632153DE" w14:textId="7B5AE820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48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1A80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Automatyczny przełącznik HDMI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wejść HDMI min.3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wyjść HDMI min. 1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Obsługiwany standard HDMI 1.3b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Obsługiwane rozdzielczości min.720p i 1080p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automatycznego przełączania źródła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D8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81626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0A73784" w14:textId="24C699D5" w:rsidTr="00995D32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78A" w14:textId="4120DA8C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 Senatu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4A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95D32" w:rsidRPr="00374894" w14:paraId="3BD1EF56" w14:textId="3FD9C8CF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A09872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9245CB" w14:textId="458948D4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140A0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20F97FB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51AE9E3E" w14:textId="1EA4A8FB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779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Projektor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519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Źródło światła laserowe o żywotności min. 20000h przy pracy w trybie pełnej jasności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natywna min. 1920x1080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Jasność min. 4500 lm (zarówno dla światła białego jak i barwnego, pomiary zgodnie z normami ISO 21118:2012, ISO IDMS 15.4)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Złącza wejściowe: min. 2x HDMI ze wsparciem min. HDCP2.3;  1x D-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HD15-pin VGA, 2x audio , 1x wejście mikrofonowe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Złącza wyjściowe: min. 1x D-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HD15-pin VGA, 1x audio z funkcją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deembendowania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dźwięku ze źródeł cyfrowych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Sterowanie / komunikacja: RS-232; LAN 10/100; USB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Obiektyw: Manualny (Zoom, Focus) o współczynniku rzutu min. 1,35-2,15:1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Funkcje użytkowe: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Miracast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/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Screen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Mirroring (iOS/Android)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Przesyłanie po USB obrazu i dźwięku z komputera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Praca w dowolnej pozycji w pionie i poziomie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Montaż na uchwytach zgodnych z VESA 100x100, lub dedykowanym uchwycie producenta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Korekcja zniekształceń obrazu: trapez pion/poziom; korekcja narożników; projekcji na zakrzywionej powierzchni oraz w narożniku pomieszczenia, korekcja liniowości obrazu pion/poziom , korekcja punktowa na siatce min.4x4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Precyzyjna regulacja barw (odcień, nasycenie, jasność) oraz Gamma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Jednoczesna projekcja obrazów z kilku źródeł w tym także bezprzewodowych, możliwy podział na 2 lub 4 źródła prezentowane jednocześnie, możliwość podłączenia i prezentacji min. 2 źródeł typu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Screen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Mirroring jednocześnie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głośnik min. 16W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Obraz o przekątnej do 500”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Sterowanie projektorem z przeglądarki internetowej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Gwarancja producenta o długości min 5 lat lub 12000h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Inne wymagania: oprogramowanie producenta nie wymagające opłat licencyjnych do monitorowania stanu projektora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31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36C7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1C4131F" w14:textId="6E93FAEC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F29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B2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ramowy,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Szerokość 240 cm,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Format obrazu dostoswany do oferowanego projektora,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Rama czarna pokryta aksamitem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873C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21B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5F41BD48" w14:textId="3F2FB482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C4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CD4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Obsługiwany rozdzielczości 1080p, 1080i, 720p, 576p, 576i, 480p, 480i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Maksymalny zasięg dla sygnału 1080p z wykorzystaniem przewodu UTP kat. 6 min. 40 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komplecie dwa zasilacze dla odbiornika i nadajnika.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B00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CA8F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66CBC47A" w14:textId="605A8EA7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4A9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Transmisja bezprzewodowa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A87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bezprzewodowego współdzielenia treści,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Obsługiwane maksymalne rozdzielczości min. 4K UHD (3840*2160p),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wyjście HDMI Liczba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Dedykowane nadajniki USB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ABD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F79B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C09C9E6" w14:textId="0B8DC557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66F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bezprzewodowy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79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mikrofonu bezprzewodowego z nadajnikiem ręcznym,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podłączenia zewnętrznych anten,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montażu w szafie w standardzie RACK19",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Praca w paśmie poniżej 700 MHz,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Nadajnik ręczny z kapsułą dynamiczną,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Czułość wkładki mikrofonu min. 1,6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/Pa,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Charakterystyka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kardioidalna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wkładki mikrofonu w zakresie nie  mniejszym niż 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- 15 kHz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77B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85C3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318CF4C" w14:textId="7F5794DB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50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Wzmacniacz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0BE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Wzmacniacz mocy z wbudowanym mikserem,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dla linii 100V min. 60 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mikser audio z min. 4 wejściami mikrofonowo/liniowymi,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odbiornik Bluetooth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AF4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689B2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2E076539" w14:textId="560D607B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431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Głośniki sufitowe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BB1" w14:textId="323E87A1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głośnikowy z wbudowanym transformatorem 100V,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 zakresie nie mniejszym niż od 80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14 kHz,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transformatora min. 10 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Efektywność min. 86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Szerokopasmowy głośnik o średnicy min. 165 mm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675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B415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5F70D089" w14:textId="2E45E38C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15C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0D2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z płyty drewnopochodnej zamontowana na parapecie pomiędzy ścianą a dźwigarem,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Drzwiczki zamykane na kluczyk,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wewnątrz szyny w standardzie RACK19" przystosowane do montażu wzmacniacza i odbiornika mikrofonu bezprzewodowego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29F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735E5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719C5B4B" w14:textId="431B6955" w:rsidTr="00995D32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454" w14:textId="7A32D44E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Ekran ramowy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53D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95D32" w:rsidRPr="00374894" w14:paraId="4BC33F3A" w14:textId="052F6318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6672F9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99FB65" w14:textId="49418AFC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00B8E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05F95076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1735FFD" w14:textId="48906FF2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9D3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ramowy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60C1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Składana, stabilna aluminiowa rama w kolorze stalowym,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Szybki i łatwy montaż bez użycia narzędzi,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Powierzchnia mocowana do ramy na metalowe zatrzaski,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Czarne ramki zwiększające kontrast oglądanego obrazu,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Wygodna, czarna walizka na kółkach ułatwia transport i przenoszenie ekranu,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Regulacja wysokości,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Powierzchnia do przedniej i tylnej projekcji,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Szerokość ekranu min. 264 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Wysokość ekranu min. 209 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Szerokość obrazu min. 243 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Wysokość obrazu min. 182 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Czarne ramki boczne min. 10 cm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C9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36FC7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170E32C9" w14:textId="32840F78" w:rsidTr="00995D32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5831" w14:textId="7E767762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Montaż i uruchomienie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0D5" w14:textId="6E435B73" w:rsidR="00995D32" w:rsidRPr="00374894" w:rsidRDefault="00995D32" w:rsidP="00995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95D32" w:rsidRPr="00374894" w14:paraId="6824CBF9" w14:textId="5F2824BB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6BEFA7A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9BC94D" w14:textId="1A6C8F2C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E40D47F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22161378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95D32" w:rsidRPr="00374894" w14:paraId="300A2810" w14:textId="43F5ADE6" w:rsidTr="00995D32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065E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uruchomienie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81A" w14:textId="51BD4B0C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C4EB" w14:textId="77777777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D1916" w14:textId="32B0DF1C" w:rsidR="00995D32" w:rsidRPr="00374894" w:rsidRDefault="00995D3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</w:tbl>
    <w:p w14:paraId="2700FC38" w14:textId="77777777" w:rsidR="005504CB" w:rsidRPr="00374894" w:rsidRDefault="005504CB" w:rsidP="00625AB2">
      <w:pPr>
        <w:jc w:val="both"/>
        <w:rPr>
          <w:rFonts w:cstheme="minorHAnsi"/>
          <w:sz w:val="24"/>
          <w:szCs w:val="24"/>
        </w:rPr>
      </w:pPr>
    </w:p>
    <w:p w14:paraId="39124225" w14:textId="39DF662F" w:rsidR="005504CB" w:rsidRDefault="005504CB" w:rsidP="006D7DB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4"/>
          <w:szCs w:val="24"/>
        </w:rPr>
      </w:pPr>
      <w:r w:rsidRPr="006D7DB2">
        <w:rPr>
          <w:rFonts w:cstheme="minorHAnsi"/>
          <w:b/>
          <w:sz w:val="24"/>
          <w:szCs w:val="24"/>
        </w:rPr>
        <w:t xml:space="preserve">Dodatkowa punktacja </w:t>
      </w:r>
    </w:p>
    <w:tbl>
      <w:tblPr>
        <w:tblW w:w="508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367"/>
        <w:gridCol w:w="2119"/>
      </w:tblGrid>
      <w:tr w:rsidR="006D7DB2" w:rsidRPr="00684FB9" w14:paraId="224573FC" w14:textId="77777777" w:rsidTr="006D7DB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0E0E3F" w14:textId="77777777" w:rsidR="006D7DB2" w:rsidRPr="00684FB9" w:rsidRDefault="006D7DB2" w:rsidP="007868E0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684FB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</w:t>
            </w:r>
            <w:r w:rsidRPr="00684FB9">
              <w:rPr>
                <w:rFonts w:cstheme="minorHAnsi"/>
                <w:b/>
                <w:sz w:val="20"/>
                <w:szCs w:val="20"/>
              </w:rPr>
              <w:t xml:space="preserve"> PARAMETRY TECHNICZNE PODLEGAJĄCE OCENIE </w:t>
            </w:r>
          </w:p>
        </w:tc>
      </w:tr>
      <w:tr w:rsidR="006D7DB2" w:rsidRPr="00684FB9" w14:paraId="040EA421" w14:textId="77777777" w:rsidTr="006D7DB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BE735E" w14:textId="77777777" w:rsidR="006D7DB2" w:rsidRDefault="006D7DB2" w:rsidP="006D7DB2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84F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Parametr oferowany </w:t>
            </w:r>
          </w:p>
          <w:p w14:paraId="10395F6D" w14:textId="5F863C26" w:rsidR="006D7DB2" w:rsidRPr="00684FB9" w:rsidRDefault="006D7DB2" w:rsidP="006D7DB2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84F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zaznaczyć TAK/NIE</w:t>
            </w:r>
          </w:p>
        </w:tc>
      </w:tr>
      <w:tr w:rsidR="006D7DB2" w:rsidRPr="00684FB9" w14:paraId="109B5276" w14:textId="77777777" w:rsidTr="006D7DB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5001" w14:textId="5F9A03C6" w:rsidR="006D7DB2" w:rsidRPr="006D7DB2" w:rsidRDefault="006D7DB2" w:rsidP="006D7DB2">
            <w:pPr>
              <w:suppressAutoHyphens/>
              <w:ind w:left="144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D7D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1ECF" w14:textId="0340EBB3" w:rsidR="006D7DB2" w:rsidRPr="00684FB9" w:rsidRDefault="006D7DB2" w:rsidP="006D7DB2">
            <w:pPr>
              <w:ind w:left="113" w:right="170"/>
              <w:rPr>
                <w:rFonts w:cstheme="minorHAnsi"/>
                <w:sz w:val="20"/>
                <w:szCs w:val="20"/>
              </w:rPr>
            </w:pPr>
            <w:r w:rsidRPr="006D7DB2">
              <w:rPr>
                <w:rFonts w:cstheme="minorHAnsi"/>
                <w:sz w:val="20"/>
                <w:szCs w:val="20"/>
              </w:rPr>
              <w:t>odbiornik audio/IP pozbawione portów HDMI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F357" w14:textId="77777777" w:rsidR="006D7DB2" w:rsidRPr="00684FB9" w:rsidRDefault="006D7DB2" w:rsidP="007868E0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D7DB2" w:rsidRPr="00684FB9" w14:paraId="2B236304" w14:textId="77777777" w:rsidTr="006D7DB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241A" w14:textId="4B7817FD" w:rsidR="006D7DB2" w:rsidRPr="006D7DB2" w:rsidRDefault="006D7DB2" w:rsidP="006D7DB2">
            <w:pPr>
              <w:suppressAutoHyphens/>
              <w:ind w:left="144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D7D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CBDD" w14:textId="5C9AA015" w:rsidR="006D7DB2" w:rsidRPr="00684FB9" w:rsidRDefault="006D7DB2" w:rsidP="006D7DB2">
            <w:pPr>
              <w:ind w:left="113" w:right="170"/>
              <w:rPr>
                <w:rFonts w:cstheme="minorHAnsi"/>
                <w:sz w:val="20"/>
                <w:szCs w:val="20"/>
              </w:rPr>
            </w:pPr>
            <w:r w:rsidRPr="006D7DB2">
              <w:rPr>
                <w:rFonts w:cstheme="minorHAnsi"/>
                <w:sz w:val="20"/>
                <w:szCs w:val="20"/>
              </w:rPr>
              <w:t>aplikacj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6D7DB2">
              <w:rPr>
                <w:rFonts w:cstheme="minorHAnsi"/>
                <w:sz w:val="20"/>
                <w:szCs w:val="20"/>
              </w:rPr>
              <w:t xml:space="preserve"> dla urządzeń mobilnych na obsługującą systemy Windows, Android i iOS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600" w14:textId="77777777" w:rsidR="006D7DB2" w:rsidRPr="00684FB9" w:rsidRDefault="006D7DB2" w:rsidP="007868E0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D7DB2" w:rsidRPr="00684FB9" w14:paraId="77E9AB15" w14:textId="77777777" w:rsidTr="006D7DB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5FF5" w14:textId="16C37517" w:rsidR="006D7DB2" w:rsidRPr="006D7DB2" w:rsidRDefault="006D7DB2" w:rsidP="006D7DB2">
            <w:pPr>
              <w:suppressAutoHyphens/>
              <w:ind w:left="144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D7D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2C4" w14:textId="6F42E375" w:rsidR="006D7DB2" w:rsidRPr="00684FB9" w:rsidRDefault="006D7DB2" w:rsidP="006D7DB2">
            <w:pPr>
              <w:ind w:left="113" w:right="170"/>
              <w:rPr>
                <w:rFonts w:cstheme="minorHAnsi"/>
                <w:sz w:val="20"/>
                <w:szCs w:val="20"/>
              </w:rPr>
            </w:pPr>
            <w:r w:rsidRPr="006D7DB2">
              <w:rPr>
                <w:rFonts w:cstheme="minorHAnsi"/>
                <w:snapToGrid w:val="0"/>
                <w:sz w:val="20"/>
                <w:szCs w:val="20"/>
              </w:rPr>
              <w:t>obudow</w:t>
            </w:r>
            <w:r>
              <w:rPr>
                <w:rFonts w:cstheme="minorHAnsi"/>
                <w:snapToGrid w:val="0"/>
                <w:sz w:val="20"/>
                <w:szCs w:val="20"/>
              </w:rPr>
              <w:t>a</w:t>
            </w:r>
            <w:r w:rsidRPr="006D7DB2">
              <w:rPr>
                <w:rFonts w:cstheme="minorHAnsi"/>
                <w:snapToGrid w:val="0"/>
                <w:sz w:val="20"/>
                <w:szCs w:val="20"/>
              </w:rPr>
              <w:t xml:space="preserve"> panelu dotykowego stołowego wykonaną z aluminium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4BDA" w14:textId="77777777" w:rsidR="006D7DB2" w:rsidRPr="00684FB9" w:rsidRDefault="006D7DB2" w:rsidP="007868E0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D7DB2" w:rsidRPr="00684FB9" w14:paraId="3E47D770" w14:textId="77777777" w:rsidTr="006D7DB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B7FE" w14:textId="5117803E" w:rsidR="006D7DB2" w:rsidRPr="006D7DB2" w:rsidRDefault="006D7DB2" w:rsidP="006D7DB2">
            <w:pPr>
              <w:suppressAutoHyphens/>
              <w:ind w:left="144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D7D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4040" w14:textId="21250CB6" w:rsidR="006D7DB2" w:rsidRPr="006D7DB2" w:rsidRDefault="006D7DB2" w:rsidP="006D7DB2">
            <w:pPr>
              <w:ind w:left="113" w:right="170"/>
              <w:rPr>
                <w:rFonts w:cstheme="minorHAnsi"/>
                <w:snapToGrid w:val="0"/>
                <w:sz w:val="20"/>
                <w:szCs w:val="20"/>
              </w:rPr>
            </w:pPr>
            <w:r w:rsidRPr="006D7DB2">
              <w:rPr>
                <w:rFonts w:cstheme="minorHAnsi"/>
                <w:snapToGrid w:val="0"/>
                <w:sz w:val="20"/>
                <w:szCs w:val="20"/>
              </w:rPr>
              <w:t>obudowę panelu dotykowego ściennego wykonaną z aluminium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9AD7" w14:textId="77777777" w:rsidR="006D7DB2" w:rsidRPr="00684FB9" w:rsidRDefault="006D7DB2" w:rsidP="007868E0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1627394" w14:textId="31796164" w:rsidR="005504CB" w:rsidRDefault="005504CB" w:rsidP="005504CB">
      <w:pPr>
        <w:jc w:val="both"/>
        <w:rPr>
          <w:rFonts w:cstheme="minorHAnsi"/>
          <w:sz w:val="24"/>
          <w:szCs w:val="24"/>
        </w:rPr>
      </w:pPr>
    </w:p>
    <w:p w14:paraId="189A0E13" w14:textId="691AB316" w:rsidR="00995D32" w:rsidRDefault="00995D32" w:rsidP="005504CB">
      <w:pPr>
        <w:jc w:val="both"/>
        <w:rPr>
          <w:rFonts w:cstheme="minorHAnsi"/>
          <w:sz w:val="24"/>
          <w:szCs w:val="24"/>
        </w:rPr>
      </w:pPr>
    </w:p>
    <w:p w14:paraId="58E3EB37" w14:textId="77777777" w:rsidR="00995D32" w:rsidRPr="0089451B" w:rsidRDefault="00995D32" w:rsidP="00995D32">
      <w:pPr>
        <w:spacing w:after="0" w:line="240" w:lineRule="auto"/>
        <w:ind w:right="-455"/>
        <w:contextualSpacing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89451B">
        <w:rPr>
          <w:rFonts w:eastAsia="Times New Roman" w:cstheme="minorHAnsi"/>
          <w:b/>
          <w:sz w:val="28"/>
          <w:szCs w:val="28"/>
          <w:u w:val="single"/>
          <w:lang w:eastAsia="pl-PL"/>
        </w:rPr>
        <w:t>UWAGA:</w:t>
      </w:r>
    </w:p>
    <w:p w14:paraId="3AC38189" w14:textId="77777777" w:rsidR="00995D32" w:rsidRPr="0089451B" w:rsidRDefault="00995D32" w:rsidP="00995D32">
      <w:pPr>
        <w:spacing w:after="0" w:line="240" w:lineRule="auto"/>
        <w:ind w:right="-455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94D3577" w14:textId="77777777" w:rsidR="00995D32" w:rsidRPr="0089451B" w:rsidRDefault="00995D32" w:rsidP="00995D32">
      <w:pPr>
        <w:spacing w:after="0" w:line="240" w:lineRule="auto"/>
        <w:ind w:right="-455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9451B">
        <w:rPr>
          <w:rFonts w:eastAsia="Times New Roman" w:cstheme="minorHAnsi"/>
          <w:b/>
          <w:sz w:val="24"/>
          <w:szCs w:val="24"/>
          <w:lang w:eastAsia="pl-PL"/>
        </w:rPr>
        <w:t>Zgodnie z art. 223 ustawy z dnia 11 września 2019 Prawo Zamówień Publicznych (Dz.U. 2021 poz. 1129 z późn. zm.)  w toku badania i oceny ofert Zamawiający może żądać od Wykonawców przedmiotowych środków dowodowych tj.: ulotek katalogowych oferowanego sprzętu, kart katalogowych producenta oferowanego sprzętu potwierdzające jego parametry oraz certyfikaty dla poszczególnych pozycji towarów.</w:t>
      </w:r>
    </w:p>
    <w:p w14:paraId="22090820" w14:textId="77777777" w:rsidR="00995D32" w:rsidRPr="0089451B" w:rsidRDefault="00995D32" w:rsidP="00995D32">
      <w:pPr>
        <w:spacing w:after="0" w:line="240" w:lineRule="auto"/>
        <w:ind w:right="-455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F896AB2" w14:textId="64DFD356" w:rsidR="00995D32" w:rsidRPr="0089451B" w:rsidRDefault="00995D32" w:rsidP="00995D32">
      <w:pPr>
        <w:spacing w:after="0" w:line="240" w:lineRule="auto"/>
        <w:ind w:right="-455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9451B">
        <w:rPr>
          <w:rFonts w:eastAsia="Times New Roman" w:cstheme="minorHAnsi"/>
          <w:b/>
          <w:sz w:val="24"/>
          <w:szCs w:val="24"/>
          <w:lang w:eastAsia="pl-PL"/>
        </w:rPr>
        <w:t>Każdy Wykonawca powinien wypełnić wszystkie pozycje w podanej specyfikacji technicznej sprzętu. W przypadku gdy nie zostanie podana nazwa producenta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oraz</w:t>
      </w:r>
      <w:r w:rsidRPr="0089451B">
        <w:rPr>
          <w:rFonts w:eastAsia="Times New Roman" w:cstheme="minorHAnsi"/>
          <w:b/>
          <w:sz w:val="24"/>
          <w:szCs w:val="24"/>
          <w:lang w:eastAsia="pl-PL"/>
        </w:rPr>
        <w:t xml:space="preserve"> model lub nie zostaną wypełnione pozycje w Załączniku nr 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89451B">
        <w:rPr>
          <w:rFonts w:eastAsia="Times New Roman" w:cstheme="minorHAnsi"/>
          <w:b/>
          <w:sz w:val="24"/>
          <w:szCs w:val="24"/>
          <w:lang w:eastAsia="pl-PL"/>
        </w:rPr>
        <w:t xml:space="preserve"> do SWZ  to oferta nie będzie podlegała uzupełnieniu i zostanie odrzucona przez Zamawiającego na podstawie art.226 pkt 5 ustawy Pzp. </w:t>
      </w:r>
    </w:p>
    <w:p w14:paraId="40553812" w14:textId="77777777" w:rsidR="00995D32" w:rsidRPr="00374894" w:rsidRDefault="00995D32" w:rsidP="005504CB">
      <w:pPr>
        <w:jc w:val="both"/>
        <w:rPr>
          <w:rFonts w:cstheme="minorHAnsi"/>
          <w:sz w:val="24"/>
          <w:szCs w:val="24"/>
        </w:rPr>
      </w:pPr>
    </w:p>
    <w:sectPr w:rsidR="00995D32" w:rsidRPr="003748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B00B" w14:textId="77777777" w:rsidR="00991DFD" w:rsidRDefault="00991DFD" w:rsidP="001F4411">
      <w:pPr>
        <w:spacing w:after="0" w:line="240" w:lineRule="auto"/>
      </w:pPr>
      <w:r>
        <w:separator/>
      </w:r>
    </w:p>
  </w:endnote>
  <w:endnote w:type="continuationSeparator" w:id="0">
    <w:p w14:paraId="2ABCFE6F" w14:textId="77777777" w:rsidR="00991DFD" w:rsidRDefault="00991DFD" w:rsidP="001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C5DA" w14:textId="77777777" w:rsidR="00991DFD" w:rsidRDefault="00991DFD" w:rsidP="001F4411">
      <w:pPr>
        <w:spacing w:after="0" w:line="240" w:lineRule="auto"/>
      </w:pPr>
      <w:r>
        <w:separator/>
      </w:r>
    </w:p>
  </w:footnote>
  <w:footnote w:type="continuationSeparator" w:id="0">
    <w:p w14:paraId="075AA748" w14:textId="77777777" w:rsidR="00991DFD" w:rsidRDefault="00991DFD" w:rsidP="001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4F98" w14:textId="6C2C6F04" w:rsidR="00D52538" w:rsidRDefault="00D52538" w:rsidP="00D52538">
    <w:pPr>
      <w:pStyle w:val="Nagwek"/>
      <w:rPr>
        <w:rFonts w:ascii="Arial Narrow" w:hAnsi="Arial Narrow"/>
      </w:rPr>
    </w:pPr>
  </w:p>
  <w:p w14:paraId="23AC1FE9" w14:textId="676B2FA8" w:rsidR="00D52538" w:rsidRPr="00770DE5" w:rsidRDefault="00D52538" w:rsidP="00D52538">
    <w:pPr>
      <w:widowControl w:val="0"/>
      <w:spacing w:after="0" w:line="240" w:lineRule="auto"/>
      <w:rPr>
        <w:rFonts w:eastAsia="Times New Roman" w:cstheme="minorHAnsi"/>
        <w:sz w:val="20"/>
        <w:szCs w:val="20"/>
        <w:lang w:eastAsia="pl-PL" w:bidi="pl-PL"/>
      </w:rPr>
    </w:pPr>
    <w:r w:rsidRPr="00770DE5">
      <w:rPr>
        <w:rFonts w:eastAsia="Times New Roman" w:cstheme="minorHAnsi"/>
        <w:sz w:val="20"/>
        <w:szCs w:val="20"/>
        <w:lang w:eastAsia="pl-PL" w:bidi="pl-PL"/>
      </w:rPr>
      <w:t xml:space="preserve">AKADEMIA NAUK STOSOWANYCH                                    </w:t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  <w:r w:rsidRPr="00770DE5">
      <w:rPr>
        <w:rFonts w:eastAsia="Times New Roman" w:cstheme="minorHAnsi"/>
        <w:sz w:val="20"/>
        <w:szCs w:val="20"/>
        <w:lang w:eastAsia="pl-PL" w:bidi="pl-PL"/>
      </w:rPr>
      <w:tab/>
      <w:t xml:space="preserve">                                   Załącznik nr </w:t>
    </w:r>
    <w:r w:rsidR="00770DE5" w:rsidRPr="00770DE5">
      <w:rPr>
        <w:rFonts w:eastAsia="Times New Roman" w:cstheme="minorHAnsi"/>
        <w:sz w:val="20"/>
        <w:szCs w:val="20"/>
        <w:lang w:eastAsia="pl-PL" w:bidi="pl-PL"/>
      </w:rPr>
      <w:t xml:space="preserve">9 </w:t>
    </w:r>
    <w:r w:rsidRPr="00770DE5">
      <w:rPr>
        <w:rFonts w:eastAsia="Times New Roman" w:cstheme="minorHAnsi"/>
        <w:sz w:val="20"/>
        <w:szCs w:val="20"/>
        <w:lang w:eastAsia="pl-PL" w:bidi="pl-PL"/>
      </w:rPr>
      <w:t>do SWZ</w:t>
    </w:r>
  </w:p>
  <w:p w14:paraId="1D50EF23" w14:textId="77777777" w:rsidR="00D52538" w:rsidRPr="00770DE5" w:rsidRDefault="00D52538" w:rsidP="00D52538">
    <w:pPr>
      <w:widowControl w:val="0"/>
      <w:spacing w:after="0" w:line="240" w:lineRule="auto"/>
      <w:rPr>
        <w:rFonts w:eastAsia="Calibri" w:cstheme="minorHAnsi"/>
        <w:sz w:val="24"/>
        <w:szCs w:val="24"/>
        <w:lang w:eastAsia="pl-PL" w:bidi="pl-PL"/>
      </w:rPr>
    </w:pPr>
    <w:r w:rsidRPr="00770DE5">
      <w:rPr>
        <w:rFonts w:eastAsia="Times New Roman" w:cstheme="minorHAnsi"/>
        <w:sz w:val="20"/>
        <w:szCs w:val="20"/>
        <w:lang w:eastAsia="pl-PL" w:bidi="pl-PL"/>
      </w:rPr>
      <w:t xml:space="preserve">im. J. A. Komeńskiego w Lesznie                          </w:t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</w:p>
  <w:p w14:paraId="44F2CA23" w14:textId="77777777" w:rsidR="00D52538" w:rsidRPr="00770DE5" w:rsidRDefault="00D52538" w:rsidP="00D52538">
    <w:pPr>
      <w:widowControl w:val="0"/>
      <w:spacing w:after="0" w:line="240" w:lineRule="auto"/>
      <w:rPr>
        <w:rFonts w:eastAsia="Calibri" w:cstheme="minorHAnsi"/>
        <w:sz w:val="24"/>
        <w:szCs w:val="24"/>
        <w:lang w:eastAsia="pl-PL" w:bidi="pl-PL"/>
      </w:rPr>
    </w:pPr>
    <w:r w:rsidRPr="00770DE5">
      <w:rPr>
        <w:rFonts w:eastAsia="Times New Roman" w:cstheme="minorHAnsi"/>
        <w:sz w:val="20"/>
        <w:szCs w:val="20"/>
        <w:lang w:eastAsia="pl-PL" w:bidi="pl-PL"/>
      </w:rPr>
      <w:t>ul. Adama Mickiewicza 5</w:t>
    </w:r>
  </w:p>
  <w:p w14:paraId="314171F0" w14:textId="77777777" w:rsidR="00D52538" w:rsidRPr="00770DE5" w:rsidRDefault="00D52538" w:rsidP="00D52538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sz w:val="20"/>
        <w:szCs w:val="20"/>
        <w:lang w:eastAsia="pl-PL" w:bidi="pl-PL"/>
      </w:rPr>
    </w:pPr>
    <w:r w:rsidRPr="00770DE5">
      <w:rPr>
        <w:rFonts w:eastAsia="Times New Roman" w:cstheme="minorHAnsi"/>
        <w:sz w:val="20"/>
        <w:szCs w:val="20"/>
        <w:lang w:eastAsia="pl-PL" w:bidi="pl-PL"/>
      </w:rPr>
      <w:t>64-100 Leszno</w:t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</w:p>
  <w:p w14:paraId="36BCDA22" w14:textId="77777777" w:rsidR="00D52538" w:rsidRPr="00770DE5" w:rsidRDefault="00D52538" w:rsidP="00D52538">
    <w:pPr>
      <w:widowControl w:val="0"/>
      <w:spacing w:after="0" w:line="240" w:lineRule="auto"/>
      <w:rPr>
        <w:rFonts w:eastAsia="Times New Roman" w:cstheme="minorHAnsi"/>
        <w:sz w:val="20"/>
        <w:szCs w:val="20"/>
        <w:lang w:eastAsia="pl-PL" w:bidi="pl-PL"/>
      </w:rPr>
    </w:pPr>
  </w:p>
  <w:p w14:paraId="14B0FCEE" w14:textId="0449FFD7" w:rsidR="00D52538" w:rsidRDefault="00D52538" w:rsidP="00D52538">
    <w:pPr>
      <w:pStyle w:val="Nagwek"/>
    </w:pPr>
    <w:r w:rsidRPr="00770DE5">
      <w:rPr>
        <w:rFonts w:eastAsia="Times New Roman" w:cstheme="minorHAnsi"/>
        <w:b/>
        <w:sz w:val="20"/>
        <w:szCs w:val="20"/>
        <w:lang w:eastAsia="pl-PL" w:bidi="pl-PL"/>
      </w:rPr>
      <w:t>K-GT-43-232-</w:t>
    </w:r>
    <w:r w:rsidR="00770DE5" w:rsidRPr="00770DE5">
      <w:rPr>
        <w:rFonts w:eastAsia="Times New Roman" w:cstheme="minorHAnsi"/>
        <w:b/>
        <w:sz w:val="20"/>
        <w:szCs w:val="20"/>
        <w:lang w:eastAsia="pl-PL" w:bidi="pl-PL"/>
      </w:rPr>
      <w:t>7</w:t>
    </w:r>
    <w:r w:rsidRPr="00770DE5">
      <w:rPr>
        <w:rFonts w:eastAsia="Times New Roman" w:cstheme="minorHAnsi"/>
        <w:b/>
        <w:sz w:val="20"/>
        <w:szCs w:val="20"/>
        <w:lang w:eastAsia="pl-PL" w:bidi="pl-PL"/>
      </w:rPr>
      <w:t>/2023</w:t>
    </w:r>
    <w:r w:rsidRPr="00D44DDC">
      <w:rPr>
        <w:rFonts w:ascii="Arial Narrow" w:eastAsia="Times New Roman" w:hAnsi="Arial Narrow" w:cs="Times New Roman"/>
        <w:b/>
        <w:color w:val="000000"/>
        <w:sz w:val="20"/>
        <w:szCs w:val="20"/>
        <w:lang w:eastAsia="pl-PL" w:bidi="pl-PL"/>
      </w:rPr>
      <w:tab/>
    </w:r>
  </w:p>
  <w:p w14:paraId="21A45ED8" w14:textId="77777777" w:rsidR="00D52538" w:rsidRDefault="00D52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4B62"/>
    <w:multiLevelType w:val="multilevel"/>
    <w:tmpl w:val="B66A9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40B1096A"/>
    <w:multiLevelType w:val="hybridMultilevel"/>
    <w:tmpl w:val="F6A48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097D"/>
    <w:multiLevelType w:val="multilevel"/>
    <w:tmpl w:val="4B8CB22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F2"/>
    <w:rsid w:val="00050A72"/>
    <w:rsid w:val="000D15C4"/>
    <w:rsid w:val="000F50A5"/>
    <w:rsid w:val="001136A6"/>
    <w:rsid w:val="001F4411"/>
    <w:rsid w:val="00374894"/>
    <w:rsid w:val="003B6E89"/>
    <w:rsid w:val="00452075"/>
    <w:rsid w:val="005504CB"/>
    <w:rsid w:val="00625AB2"/>
    <w:rsid w:val="00630623"/>
    <w:rsid w:val="006C661A"/>
    <w:rsid w:val="006D7DB2"/>
    <w:rsid w:val="00770DE5"/>
    <w:rsid w:val="007E5925"/>
    <w:rsid w:val="008A085F"/>
    <w:rsid w:val="008D35F2"/>
    <w:rsid w:val="00991DFD"/>
    <w:rsid w:val="00995D32"/>
    <w:rsid w:val="00997E17"/>
    <w:rsid w:val="009D6A7D"/>
    <w:rsid w:val="00A177B6"/>
    <w:rsid w:val="00A744FA"/>
    <w:rsid w:val="00A90643"/>
    <w:rsid w:val="00B648F0"/>
    <w:rsid w:val="00C76DB5"/>
    <w:rsid w:val="00D0746B"/>
    <w:rsid w:val="00D52538"/>
    <w:rsid w:val="00E81576"/>
    <w:rsid w:val="00E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3C3"/>
  <w15:chartTrackingRefBased/>
  <w15:docId w15:val="{CEE86E6F-E291-425B-ADCB-5549E164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411"/>
    <w:rPr>
      <w:vertAlign w:val="superscript"/>
    </w:rPr>
  </w:style>
  <w:style w:type="paragraph" w:styleId="Poprawka">
    <w:name w:val="Revision"/>
    <w:hidden/>
    <w:uiPriority w:val="99"/>
    <w:semiHidden/>
    <w:rsid w:val="000D15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5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8"/>
  </w:style>
  <w:style w:type="paragraph" w:styleId="Stopka">
    <w:name w:val="footer"/>
    <w:basedOn w:val="Normalny"/>
    <w:link w:val="StopkaZnak"/>
    <w:uiPriority w:val="99"/>
    <w:unhideWhenUsed/>
    <w:rsid w:val="00D5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BACF-00A7-479C-87FA-3C2FCDF7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3059</Words>
  <Characters>18355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Borowiecki</dc:creator>
  <cp:keywords/>
  <dc:description/>
  <cp:lastModifiedBy>Marika Neimann</cp:lastModifiedBy>
  <cp:revision>3</cp:revision>
  <dcterms:created xsi:type="dcterms:W3CDTF">2023-08-04T07:17:00Z</dcterms:created>
  <dcterms:modified xsi:type="dcterms:W3CDTF">2023-08-04T07:25:00Z</dcterms:modified>
</cp:coreProperties>
</file>