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32" w:rsidRPr="000A6576" w:rsidRDefault="00970832" w:rsidP="004E5A2A">
      <w:pPr>
        <w:pStyle w:val="Heading2"/>
        <w:ind w:left="284" w:hanging="284"/>
        <w:rPr>
          <w:color w:val="000000"/>
        </w:rPr>
      </w:pPr>
      <w:r>
        <w:rPr>
          <w:color w:val="000000"/>
        </w:rPr>
        <w:t>Serwer</w:t>
      </w:r>
    </w:p>
    <w:p w:rsidR="00970832" w:rsidRDefault="00970832" w:rsidP="004E5A2A">
      <w:r>
        <w:t>Wymagane dostarczenie jednego serwera spełniającego poniżej opisane  minimalne parametry funkcjonalne.</w:t>
      </w:r>
    </w:p>
    <w:p w:rsidR="00970832" w:rsidRDefault="00970832" w:rsidP="004E5A2A">
      <w:r>
        <w:t xml:space="preserve">Producent: </w:t>
      </w:r>
      <w:r>
        <w:tab/>
        <w:t>………………………………………………………………</w:t>
      </w:r>
    </w:p>
    <w:p w:rsidR="00970832" w:rsidRPr="00220C25" w:rsidRDefault="00970832" w:rsidP="004E5A2A">
      <w:r>
        <w:t xml:space="preserve">Model: </w:t>
      </w:r>
      <w:r>
        <w:tab/>
      </w:r>
      <w:r>
        <w:tab/>
        <w:t>………………………………………………………………</w:t>
      </w:r>
    </w:p>
    <w:tbl>
      <w:tblPr>
        <w:tblW w:w="145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0"/>
        <w:gridCol w:w="6095"/>
        <w:gridCol w:w="5508"/>
      </w:tblGrid>
      <w:tr w:rsidR="00970832" w:rsidRPr="00652192" w:rsidTr="00672CA7">
        <w:trPr>
          <w:tblHeader/>
        </w:trPr>
        <w:tc>
          <w:tcPr>
            <w:tcW w:w="567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Lp.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Nazwa komponentu</w:t>
            </w:r>
          </w:p>
        </w:tc>
        <w:tc>
          <w:tcPr>
            <w:tcW w:w="6095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 xml:space="preserve">Wymagane minimalne parametry techniczne </w:t>
            </w:r>
          </w:p>
        </w:tc>
        <w:tc>
          <w:tcPr>
            <w:tcW w:w="5508" w:type="dxa"/>
            <w:shd w:val="clear" w:color="auto" w:fill="E0E0E0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Oferowane parametry techniczne</w:t>
            </w: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Obudowa</w:t>
            </w:r>
          </w:p>
        </w:tc>
        <w:tc>
          <w:tcPr>
            <w:tcW w:w="6095" w:type="dxa"/>
          </w:tcPr>
          <w:p w:rsidR="00970832" w:rsidRPr="00193B02" w:rsidRDefault="00970832" w:rsidP="005C4D7D">
            <w:pPr>
              <w:suppressAutoHyphens/>
              <w:spacing w:after="0"/>
              <w:rPr>
                <w:bCs/>
              </w:rPr>
            </w:pPr>
            <w:r w:rsidRPr="00652192">
              <w:t xml:space="preserve">Maksymalnie 1U RACK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652192">
                <w:t>19 cali</w:t>
              </w:r>
            </w:smartTag>
            <w:r w:rsidRPr="00652192">
              <w:t xml:space="preserve"> wraz z szynami montażowymi.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2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52192">
              <w:rPr>
                <w:b/>
                <w:color w:val="000000"/>
              </w:rPr>
              <w:t>Procesor</w:t>
            </w:r>
          </w:p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6095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</w:pPr>
            <w:r w:rsidRPr="00652192">
              <w:t xml:space="preserve">Zainstalowany jeden procesor, maksymalnie ośmiordzeniowy, x86 - 64 bity. </w:t>
            </w:r>
          </w:p>
          <w:p w:rsidR="00970832" w:rsidRPr="009C214B" w:rsidRDefault="00970832" w:rsidP="005C4D7D">
            <w:pPr>
              <w:suppressAutoHyphens/>
              <w:spacing w:after="0"/>
              <w:rPr>
                <w:bCs/>
              </w:rPr>
            </w:pPr>
            <w:r>
              <w:rPr>
                <w:bCs/>
              </w:rPr>
              <w:t xml:space="preserve">Serwer w konfiguracji dwu procesorowej musi zapewniać osiągnięcie wydajności </w:t>
            </w:r>
            <w:r w:rsidRPr="009C214B">
              <w:rPr>
                <w:bCs/>
              </w:rPr>
              <w:t xml:space="preserve">w testach </w:t>
            </w:r>
            <w:r>
              <w:rPr>
                <w:bCs/>
              </w:rPr>
              <w:t>SPECrate2017_fp_base</w:t>
            </w:r>
            <w:r w:rsidRPr="009C214B">
              <w:rPr>
                <w:bCs/>
              </w:rPr>
              <w:t xml:space="preserve"> wynik nie gorszy niż </w:t>
            </w:r>
            <w:r>
              <w:rPr>
                <w:bCs/>
              </w:rPr>
              <w:t>92</w:t>
            </w:r>
            <w:r w:rsidRPr="009C214B">
              <w:rPr>
                <w:bCs/>
              </w:rPr>
              <w:t xml:space="preserve">. Wynik testu musi być opublikowany na stronie </w:t>
            </w:r>
            <w:hyperlink r:id="rId5" w:history="1">
              <w:r w:rsidRPr="009C214B">
                <w:rPr>
                  <w:bCs/>
                </w:rPr>
                <w:t>www.spec.org</w:t>
              </w:r>
            </w:hyperlink>
          </w:p>
          <w:p w:rsidR="00970832" w:rsidRPr="00652192" w:rsidRDefault="00970832" w:rsidP="005C4D7D">
            <w:pPr>
              <w:suppressAutoHyphens/>
              <w:spacing w:after="0"/>
            </w:pPr>
            <w:r w:rsidRPr="009C214B">
              <w:rPr>
                <w:bCs/>
              </w:rPr>
              <w:t>Zamawiający nie wymaga złożenia wraz z ofertą wyników ww</w:t>
            </w:r>
            <w:r>
              <w:rPr>
                <w:bCs/>
              </w:rPr>
              <w:t>.</w:t>
            </w:r>
            <w:r w:rsidRPr="009C214B">
              <w:rPr>
                <w:bCs/>
              </w:rPr>
              <w:t xml:space="preserve"> testów.</w:t>
            </w:r>
          </w:p>
          <w:p w:rsidR="00970832" w:rsidRPr="00652192" w:rsidRDefault="00970832" w:rsidP="005C4D7D">
            <w:pPr>
              <w:suppressAutoHyphens/>
              <w:spacing w:after="0"/>
            </w:pPr>
          </w:p>
          <w:p w:rsidR="00970832" w:rsidRPr="00A506FC" w:rsidRDefault="00970832" w:rsidP="005C4D7D">
            <w:pPr>
              <w:suppressAutoHyphens/>
              <w:spacing w:after="0"/>
              <w:rPr>
                <w:bCs/>
              </w:rPr>
            </w:pPr>
            <w:r w:rsidRPr="00652192">
              <w:t>Płyta główna wspierająca zastosowanie procesorów od 4 do 28 rdzeniowych, mocy do min. 205W i taktowaniu CPU do min. 3.6GHz.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3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Pamięć operacyjna</w:t>
            </w:r>
          </w:p>
        </w:tc>
        <w:tc>
          <w:tcPr>
            <w:tcW w:w="6095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2192">
              <w:rPr>
                <w:lang w:val="en-US"/>
              </w:rPr>
              <w:t>Minimum 16 GB DDR4 2933 MT/s.</w:t>
            </w:r>
          </w:p>
          <w:p w:rsidR="00970832" w:rsidRPr="00652192" w:rsidRDefault="00970832" w:rsidP="005C4D7D">
            <w:pPr>
              <w:autoSpaceDE w:val="0"/>
              <w:autoSpaceDN w:val="0"/>
              <w:adjustRightInd w:val="0"/>
              <w:jc w:val="both"/>
            </w:pPr>
            <w:r w:rsidRPr="00652192">
              <w:t>Płyta główna z minimum 24 slotami na pamięć i umożliwiająca instalację do minimum 3TB. Płyta główna z fabrycznym oznaczeniem logo producenta (dopuszcza się logo producenta na module zarządzania trwale zintegrowanym na płycie głównej).</w:t>
            </w:r>
          </w:p>
          <w:p w:rsidR="00970832" w:rsidRPr="00652192" w:rsidRDefault="00970832" w:rsidP="005C4D7D">
            <w:pPr>
              <w:autoSpaceDE w:val="0"/>
              <w:autoSpaceDN w:val="0"/>
              <w:adjustRightInd w:val="0"/>
              <w:jc w:val="both"/>
            </w:pPr>
            <w:r w:rsidRPr="00652192">
              <w:t>Obsługa zabezpieczeń: Advanced ECC i Online Spare lub równoważne.</w:t>
            </w:r>
          </w:p>
          <w:p w:rsidR="00970832" w:rsidRPr="008D6C53" w:rsidRDefault="00970832" w:rsidP="005C4D7D">
            <w:pPr>
              <w:suppressAutoHyphens/>
              <w:spacing w:after="0"/>
              <w:rPr>
                <w:bCs/>
                <w:color w:val="000000"/>
              </w:rPr>
            </w:pPr>
            <w:r w:rsidRPr="00652192">
              <w:t>Serwer z obsługą pamięci typu NVDIMM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4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Sloty rozszerzeń</w:t>
            </w:r>
          </w:p>
        </w:tc>
        <w:tc>
          <w:tcPr>
            <w:tcW w:w="6095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</w:pPr>
            <w:r w:rsidRPr="00652192">
              <w:t>Serwer musi być wyposażony w  2 aktywne gniazda PCI-Express generacji 3.</w:t>
            </w:r>
          </w:p>
          <w:p w:rsidR="00970832" w:rsidRPr="00652192" w:rsidRDefault="00970832" w:rsidP="005C4D7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52192">
              <w:t>Serwer musi mieć dodatkowo dedykowany slot PCI-Express pozwalający na instalację karty sieciowej 10Gb/s.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5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Dysk twardy</w:t>
            </w:r>
          </w:p>
        </w:tc>
        <w:tc>
          <w:tcPr>
            <w:tcW w:w="6095" w:type="dxa"/>
          </w:tcPr>
          <w:p w:rsidR="00970832" w:rsidRDefault="00970832" w:rsidP="005C4D7D">
            <w:pPr>
              <w:suppressAutoHyphens/>
              <w:spacing w:after="0"/>
              <w:rPr>
                <w:bCs/>
              </w:rPr>
            </w:pPr>
            <w:r>
              <w:rPr>
                <w:bCs/>
              </w:rPr>
              <w:t>Obudowa serwera na minimum 8 dysków SFF (</w:t>
            </w:r>
            <w:smartTag w:uri="urn:schemas-microsoft-com:office:smarttags" w:element="metricconverter">
              <w:smartTagPr>
                <w:attr w:name="ProductID" w:val="2,5”"/>
              </w:smartTagPr>
              <w:r>
                <w:rPr>
                  <w:bCs/>
                </w:rPr>
                <w:t>2</w:t>
              </w:r>
              <w:r w:rsidRPr="009C214B">
                <w:rPr>
                  <w:bCs/>
                </w:rPr>
                <w:t>,5”</w:t>
              </w:r>
            </w:smartTag>
            <w:r w:rsidRPr="009C214B">
              <w:rPr>
                <w:bCs/>
              </w:rPr>
              <w:t>) typu Hot Swap. Obsługiwane typy dysków SAS/SATA/SSD.</w:t>
            </w:r>
            <w:r>
              <w:rPr>
                <w:bCs/>
              </w:rPr>
              <w:t xml:space="preserve"> </w:t>
            </w:r>
          </w:p>
          <w:p w:rsidR="00970832" w:rsidRPr="00F03EBB" w:rsidRDefault="00970832" w:rsidP="005C4D7D">
            <w:pPr>
              <w:suppressAutoHyphens/>
              <w:spacing w:after="0"/>
              <w:rPr>
                <w:bCs/>
              </w:rPr>
            </w:pPr>
            <w:r>
              <w:rPr>
                <w:bCs/>
              </w:rPr>
              <w:t xml:space="preserve">Wymagane dostarczenie czterech  dysków SAS 12G </w:t>
            </w:r>
            <w:r w:rsidRPr="00F03EBB">
              <w:rPr>
                <w:bCs/>
              </w:rPr>
              <w:t xml:space="preserve">każdy o pojemności minimum </w:t>
            </w:r>
            <w:r>
              <w:rPr>
                <w:bCs/>
              </w:rPr>
              <w:t>600 GB i prędkości minimum 10k.</w:t>
            </w:r>
          </w:p>
        </w:tc>
        <w:tc>
          <w:tcPr>
            <w:tcW w:w="5508" w:type="dxa"/>
          </w:tcPr>
          <w:p w:rsidR="00970832" w:rsidRDefault="00970832" w:rsidP="005C4D7D">
            <w:pPr>
              <w:suppressAutoHyphens/>
              <w:spacing w:after="0"/>
              <w:rPr>
                <w:bCs/>
              </w:rPr>
            </w:pPr>
          </w:p>
        </w:tc>
      </w:tr>
      <w:tr w:rsidR="00970832" w:rsidRPr="00652192" w:rsidTr="00672CA7">
        <w:trPr>
          <w:trHeight w:val="449"/>
        </w:trPr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6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Kontroler</w:t>
            </w:r>
          </w:p>
        </w:tc>
        <w:tc>
          <w:tcPr>
            <w:tcW w:w="6095" w:type="dxa"/>
          </w:tcPr>
          <w:p w:rsidR="00970832" w:rsidRDefault="00970832" w:rsidP="005C4D7D">
            <w:pPr>
              <w:suppressAutoHyphens/>
              <w:spacing w:after="0"/>
              <w:rPr>
                <w:bCs/>
              </w:rPr>
            </w:pPr>
            <w:r w:rsidRPr="009C214B">
              <w:rPr>
                <w:bCs/>
              </w:rPr>
              <w:t>Wbudowany k</w:t>
            </w:r>
            <w:r>
              <w:rPr>
                <w:bCs/>
              </w:rPr>
              <w:t xml:space="preserve">ontroler macierzowy obsługujący równocześnie SAS 12G i SATA 6G, </w:t>
            </w:r>
            <w:r w:rsidRPr="009C214B">
              <w:rPr>
                <w:bCs/>
              </w:rPr>
              <w:t xml:space="preserve">zapewniający obsługę </w:t>
            </w:r>
            <w:r>
              <w:rPr>
                <w:bCs/>
              </w:rPr>
              <w:t>min. 8  napędów dyskowych SAS/SATA</w:t>
            </w:r>
            <w:r w:rsidRPr="009C214B">
              <w:rPr>
                <w:bCs/>
              </w:rPr>
              <w:t xml:space="preserve"> oraz obs</w:t>
            </w:r>
            <w:r>
              <w:rPr>
                <w:bCs/>
              </w:rPr>
              <w:t>ługujący poziomy: RAID 0/1/1+0/5/5+0/6/6+0. Kontroler musi być wyposażony w pamięć cache o pojemności minimum 2GB z potrzymaniem bateryjnym.</w:t>
            </w:r>
          </w:p>
          <w:p w:rsidR="00970832" w:rsidRPr="000818A6" w:rsidRDefault="00970832" w:rsidP="005C4D7D">
            <w:pPr>
              <w:suppressAutoHyphens/>
              <w:spacing w:after="0"/>
              <w:rPr>
                <w:bCs/>
              </w:rPr>
            </w:pPr>
            <w:r w:rsidRPr="00652192">
              <w:t>Kontroler umożliwiający pracę z dyskami w trybach RAID i JBOD jednocześnie</w:t>
            </w:r>
          </w:p>
        </w:tc>
        <w:tc>
          <w:tcPr>
            <w:tcW w:w="5508" w:type="dxa"/>
          </w:tcPr>
          <w:p w:rsidR="00970832" w:rsidRPr="009C214B" w:rsidRDefault="00970832" w:rsidP="005C4D7D">
            <w:pPr>
              <w:suppressAutoHyphens/>
              <w:spacing w:after="0"/>
              <w:rPr>
                <w:bCs/>
              </w:rPr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7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Interfejsy LAN</w:t>
            </w:r>
          </w:p>
        </w:tc>
        <w:tc>
          <w:tcPr>
            <w:tcW w:w="6095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  <w:jc w:val="both"/>
            </w:pPr>
            <w:r w:rsidRPr="00652192">
              <w:t>Serwer musi być wyposażony w minimum 4 wbudowane porty Ethernet 100/1000 Mb/s RJ-45 z funkcją Wake-On-LAN, wsparciem dla PXE, które nie zajmują gniazd PCIe opisanych w sekcji „Sloty rozszerzeń”. Dopuszcza się zainstalowanie takiej karty w dodatkowym slocie;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  <w:jc w:val="both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8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Karta graficzna</w:t>
            </w:r>
          </w:p>
        </w:tc>
        <w:tc>
          <w:tcPr>
            <w:tcW w:w="6095" w:type="dxa"/>
          </w:tcPr>
          <w:p w:rsidR="00970832" w:rsidRPr="008D6C53" w:rsidRDefault="00970832" w:rsidP="005C4D7D">
            <w:pPr>
              <w:suppressAutoHyphens/>
              <w:spacing w:after="0"/>
              <w:rPr>
                <w:bCs/>
                <w:color w:val="000000"/>
              </w:rPr>
            </w:pPr>
            <w:r w:rsidRPr="00652192">
              <w:rPr>
                <w:color w:val="000000"/>
              </w:rPr>
              <w:t>Zintegrowana karta graficzna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  <w:rPr>
                <w:color w:val="000000"/>
              </w:rPr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9</w:t>
            </w:r>
          </w:p>
        </w:tc>
        <w:tc>
          <w:tcPr>
            <w:tcW w:w="2410" w:type="dxa"/>
            <w:vAlign w:val="center"/>
          </w:tcPr>
          <w:p w:rsidR="00970832" w:rsidRPr="00933CAD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Porty</w:t>
            </w:r>
          </w:p>
        </w:tc>
        <w:tc>
          <w:tcPr>
            <w:tcW w:w="6095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  <w:jc w:val="both"/>
            </w:pPr>
            <w:r w:rsidRPr="00652192">
              <w:t>5  x USB 3.0 (w tym minimum 2 porty wewnętrzne)</w:t>
            </w:r>
          </w:p>
          <w:p w:rsidR="00970832" w:rsidRPr="00652192" w:rsidRDefault="00970832" w:rsidP="005C4D7D">
            <w:pPr>
              <w:autoSpaceDE w:val="0"/>
              <w:autoSpaceDN w:val="0"/>
              <w:adjustRightInd w:val="0"/>
              <w:jc w:val="both"/>
            </w:pPr>
            <w:r w:rsidRPr="00652192">
              <w:t xml:space="preserve">1x VGA, </w:t>
            </w:r>
          </w:p>
          <w:p w:rsidR="00970832" w:rsidRPr="00933CAD" w:rsidRDefault="00970832" w:rsidP="005C4D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192">
              <w:t>Możliwość rozbudowy o port szeregowy typu DB9/DE-9 (9 pinowy), wyprowadzony na zewnątrz obudowy bez pośrednictwa portu USB/RJ45. Nie dopuszcza się stosowania kart PCI.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  <w:jc w:val="both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10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Zasilacz</w:t>
            </w:r>
          </w:p>
        </w:tc>
        <w:tc>
          <w:tcPr>
            <w:tcW w:w="6095" w:type="dxa"/>
          </w:tcPr>
          <w:p w:rsidR="00970832" w:rsidRPr="00847F94" w:rsidRDefault="00970832" w:rsidP="005C4D7D">
            <w:pPr>
              <w:suppressAutoHyphens/>
              <w:spacing w:after="0"/>
              <w:rPr>
                <w:bCs/>
                <w:color w:val="000000"/>
              </w:rPr>
            </w:pPr>
            <w:r w:rsidRPr="00652192">
              <w:rPr>
                <w:lang w:val="sv-SE"/>
              </w:rPr>
              <w:t>2 szt., typu Hot-plug, redundantne, każdy o mocy minimum 500W.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  <w:rPr>
                <w:lang w:val="sv-SE"/>
              </w:rPr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11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Chłodzenie</w:t>
            </w:r>
          </w:p>
        </w:tc>
        <w:tc>
          <w:tcPr>
            <w:tcW w:w="6095" w:type="dxa"/>
          </w:tcPr>
          <w:p w:rsidR="00970832" w:rsidRPr="00847F94" w:rsidRDefault="00970832" w:rsidP="005C4D7D">
            <w:pPr>
              <w:suppressAutoHyphens/>
              <w:spacing w:after="0"/>
              <w:rPr>
                <w:bCs/>
                <w:color w:val="000000"/>
              </w:rPr>
            </w:pPr>
            <w:r w:rsidRPr="00652192">
              <w:rPr>
                <w:color w:val="000000"/>
              </w:rPr>
              <w:t>Zestaw wentylatorów redundantnych typu hot-plug.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  <w:rPr>
                <w:color w:val="000000"/>
              </w:rPr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12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52192">
              <w:rPr>
                <w:b/>
                <w:color w:val="000000"/>
              </w:rPr>
              <w:t>Zarządzanie i obsługa</w:t>
            </w:r>
          </w:p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techniczna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r w:rsidRPr="00652192"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 xml:space="preserve">monitorowanie podzespołów serwera: temperatura, zasilacze, wentylatory, procesory, pamięć RAM, kontrolery macierzowe i dyski (fizyczne i logiczne), karty sieciowe 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wparcie dla agentów zarządzających oraz możliwość pracy w trybie bezagentowym – bez agentów zarządzania instalowanych w systemie operacyjnym z generowaniem alertów SNMP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 xml:space="preserve">dostęp do karty zarządzającej poprzez </w:t>
            </w:r>
          </w:p>
          <w:p w:rsidR="00970832" w:rsidRPr="00F53BF0" w:rsidRDefault="00970832" w:rsidP="004E5A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 xml:space="preserve">dedykowany port RJ45 z tyłu serwera lub </w:t>
            </w:r>
          </w:p>
          <w:p w:rsidR="00970832" w:rsidRPr="00F53BF0" w:rsidRDefault="00970832" w:rsidP="004E5A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 xml:space="preserve">przez współdzielony port zintegrowanej karty sieciowej serwera  </w:t>
            </w:r>
          </w:p>
          <w:p w:rsidR="00970832" w:rsidRPr="00F53BF0" w:rsidRDefault="00970832" w:rsidP="005C4D7D">
            <w:pPr>
              <w:pStyle w:val="ListParagraph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 xml:space="preserve">      dostęp do karty możliwy </w:t>
            </w:r>
          </w:p>
          <w:p w:rsidR="00970832" w:rsidRPr="00F53BF0" w:rsidRDefault="00970832" w:rsidP="004E5A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z poziomu przeglądarki webowej (GUI)</w:t>
            </w:r>
          </w:p>
          <w:p w:rsidR="00970832" w:rsidRPr="00F53BF0" w:rsidRDefault="00970832" w:rsidP="004E5A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652192">
              <w:rPr>
                <w:sz w:val="22"/>
                <w:szCs w:val="22"/>
                <w:lang w:val="en-GB" w:eastAsia="en-US"/>
              </w:rPr>
              <w:t>z poziomu linii komend</w:t>
            </w:r>
          </w:p>
          <w:p w:rsidR="00970832" w:rsidRPr="00652192" w:rsidRDefault="00970832" w:rsidP="004E5A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2"/>
                <w:szCs w:val="22"/>
                <w:lang w:val="en-GB" w:eastAsia="en-US"/>
              </w:rPr>
            </w:pPr>
            <w:r w:rsidRPr="00652192">
              <w:rPr>
                <w:sz w:val="22"/>
                <w:szCs w:val="22"/>
                <w:lang w:val="en-GB" w:eastAsia="en-US"/>
              </w:rPr>
              <w:t>poprzez interfejs IPMI 2.0 (Intelligent Platform Management Interface)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 xml:space="preserve">wirtualna zdalna konsola, tekstowa i graficzna, z dostępem do myszy i klawiatury i możliwością podłączenia wirtualnych napędów FDD, CD/DVD i USB i wirtualnych folderów 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monitorowanie zasilania oraz zużycia energii przez serwer w czasie rzeczywistym z możliwością graficznej prezentacji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 xml:space="preserve">konfiguracja maksymalnego poziomu pobieranej mocy przez serwer (capping) 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zdalna aktualizacja oprogramowania (firmware)</w:t>
            </w:r>
          </w:p>
          <w:p w:rsidR="00970832" w:rsidRPr="00652192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val="en-US" w:eastAsia="en-US"/>
              </w:rPr>
            </w:pPr>
            <w:r w:rsidRPr="00652192">
              <w:rPr>
                <w:sz w:val="22"/>
                <w:szCs w:val="22"/>
                <w:lang w:val="en-US" w:eastAsia="en-US"/>
              </w:rPr>
              <w:t>wsparcie dla Microsoft Active Directory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wsparcie dla IPv4 oraz iPv6, obsługa SNMP v3 oraz RESTful API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możliwość autokonfiguracji sieci karty zarządzającej (DNS/DHCP)</w:t>
            </w:r>
          </w:p>
        </w:tc>
        <w:tc>
          <w:tcPr>
            <w:tcW w:w="5508" w:type="dxa"/>
          </w:tcPr>
          <w:p w:rsidR="00970832" w:rsidRPr="00652192" w:rsidRDefault="00970832" w:rsidP="005C4D7D"/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13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Wsparcie dla Systemów Operacyjnych i Systemów Wirtualizacyjnych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rPr>
                <w:lang w:val="en-US"/>
              </w:rPr>
            </w:pPr>
            <w:r w:rsidRPr="00652192">
              <w:rPr>
                <w:lang w:val="en-US"/>
              </w:rPr>
              <w:t>Microsoft Windows Server 2012 R2, 2016, 2019</w:t>
            </w:r>
          </w:p>
          <w:p w:rsidR="00970832" w:rsidRPr="00652192" w:rsidRDefault="00970832" w:rsidP="005C4D7D">
            <w:pPr>
              <w:rPr>
                <w:lang w:val="en-US"/>
              </w:rPr>
            </w:pPr>
            <w:r w:rsidRPr="00652192">
              <w:rPr>
                <w:lang w:val="en-US"/>
              </w:rPr>
              <w:t xml:space="preserve">Red Hat Enterprise Linux (RHEL) </w:t>
            </w:r>
          </w:p>
          <w:p w:rsidR="00970832" w:rsidRPr="00193B02" w:rsidRDefault="00970832" w:rsidP="005C4D7D">
            <w:pPr>
              <w:suppressAutoHyphens/>
              <w:spacing w:after="0"/>
              <w:rPr>
                <w:bCs/>
                <w:color w:val="000000"/>
              </w:rPr>
            </w:pPr>
            <w:r w:rsidRPr="00652192">
              <w:t>VMware ESXi 6.x, 7.x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rPr>
                <w:lang w:val="en-US"/>
              </w:rPr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14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  <w:lang w:val="en-US"/>
              </w:rPr>
              <w:t>Wsparcie techniczne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 xml:space="preserve">Wymagane minimum 3-letnie wsparcie techniczne z możliwością zgłaszania problemów w dni robocze w godzinach 8-17 i z czasem reakcji w następnym dniu roboczym. </w:t>
            </w:r>
          </w:p>
          <w:p w:rsidR="00970832" w:rsidRPr="00652192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bCs/>
                <w:highlight w:val="yellow"/>
              </w:rPr>
              <w:t>Parametr punktowany:</w:t>
            </w:r>
          </w:p>
          <w:p w:rsidR="00970832" w:rsidRPr="00652192" w:rsidRDefault="00970832" w:rsidP="005C4D7D">
            <w:pPr>
              <w:suppressAutoHyphens/>
              <w:spacing w:after="0"/>
              <w:rPr>
                <w:b/>
                <w:bCs/>
                <w:highlight w:val="yellow"/>
              </w:rPr>
            </w:pPr>
            <w:r w:rsidRPr="00652192">
              <w:rPr>
                <w:b/>
                <w:bCs/>
                <w:highlight w:val="yellow"/>
              </w:rPr>
              <w:t>3-letnie wsparcie – 0 punktów</w:t>
            </w:r>
          </w:p>
          <w:p w:rsidR="00970832" w:rsidRPr="00652192" w:rsidRDefault="00970832" w:rsidP="005C4D7D">
            <w:pPr>
              <w:suppressAutoHyphens/>
              <w:spacing w:after="0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5-letnie wsparcie – 15</w:t>
            </w:r>
            <w:r w:rsidRPr="00652192">
              <w:rPr>
                <w:b/>
                <w:bCs/>
                <w:highlight w:val="yellow"/>
              </w:rPr>
              <w:t xml:space="preserve"> punktów</w:t>
            </w:r>
          </w:p>
          <w:p w:rsidR="00970832" w:rsidRPr="00847F94" w:rsidRDefault="00970832" w:rsidP="005C4D7D">
            <w:pPr>
              <w:suppressAutoHyphens/>
              <w:spacing w:after="0"/>
              <w:rPr>
                <w:bCs/>
                <w:color w:val="000000"/>
              </w:rPr>
            </w:pP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  <w:r>
              <w:t>Podać ile lat wsparcia;</w:t>
            </w: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15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b/>
                <w:color w:val="000000"/>
                <w:lang w:val="en-US"/>
              </w:rPr>
            </w:pPr>
            <w:r w:rsidRPr="00652192">
              <w:rPr>
                <w:b/>
                <w:color w:val="000000"/>
                <w:lang w:val="en-US"/>
              </w:rPr>
              <w:t>Wymagania dodatkowe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Wsparcie musi obejmować wszystkie komponenty oferowanych urządzeń, nie dopuszcza się stosowania różnych poziomów wsparcia w zależności od tego jak krytyczny jest problem. Wsparcie  musi być oferowane w języku polskim przez polski oddział serwisowy producenta.</w:t>
            </w:r>
          </w:p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Wykonawca wraz z dostawą urządzeń przedstawi oświadczenie producenta urządzeń, które będzie potwierdzało, że urządzenia objęte są gwarancją na terenie Polski zgodną z wymaganiami Zamawiającego. Oświadczenie to musi zawierać informację o numerach seryjnych urządzeń, numerach katalogowych urządzeń, dane wykonawcy oraz dane klienta końcowego.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16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b/>
                <w:color w:val="000000"/>
                <w:lang w:val="en-US"/>
              </w:rPr>
            </w:pPr>
            <w:r w:rsidRPr="00652192">
              <w:rPr>
                <w:b/>
                <w:color w:val="000000"/>
                <w:lang w:val="en-US"/>
              </w:rPr>
              <w:t>Usługi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Wymagane przeprowadzenie następujących prac instalacyjnych: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Aktualizacja oprogramowania firmware serwera i wszystkich jego komponentów.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Konfiguracja podsystemu dyskowego.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Konfiguracja karty zarządzającej.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Instalacja systemu operacyjnego Microsoft Windows Server 2016  - licencja dostarczona przez Zamawiającego.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Instalacja narzędzi administracyjnych dostarczanych przez producenta serwera.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</w:tbl>
    <w:p w:rsidR="00970832" w:rsidRDefault="00970832" w:rsidP="004E5A2A">
      <w:pPr>
        <w:autoSpaceDE w:val="0"/>
        <w:autoSpaceDN w:val="0"/>
        <w:adjustRightInd w:val="0"/>
        <w:spacing w:before="80" w:after="80"/>
        <w:jc w:val="both"/>
        <w:rPr>
          <w:rFonts w:cs="Arial"/>
          <w:sz w:val="24"/>
          <w:szCs w:val="24"/>
        </w:rPr>
      </w:pPr>
    </w:p>
    <w:p w:rsidR="00970832" w:rsidRPr="000A6576" w:rsidRDefault="00970832" w:rsidP="004E5A2A">
      <w:pPr>
        <w:pStyle w:val="Heading2"/>
        <w:ind w:left="284" w:hanging="284"/>
        <w:rPr>
          <w:color w:val="000000"/>
        </w:rPr>
      </w:pPr>
      <w:r>
        <w:rPr>
          <w:color w:val="000000"/>
        </w:rPr>
        <w:t>Rozbudowa macierzy HPE 3PAR 8200</w:t>
      </w:r>
    </w:p>
    <w:p w:rsidR="00970832" w:rsidRDefault="00970832" w:rsidP="004E5A2A">
      <w:r>
        <w:t>Wymagane dostarczenie dodatkowej półki dyskowej, spełniającej poniżej opisane  minimalne parametry funkcjonalne.</w:t>
      </w:r>
    </w:p>
    <w:p w:rsidR="00970832" w:rsidRDefault="00970832" w:rsidP="004E5A2A">
      <w:r>
        <w:t xml:space="preserve">Producent: </w:t>
      </w:r>
      <w:r>
        <w:tab/>
        <w:t>………………………………………………………………</w:t>
      </w:r>
    </w:p>
    <w:p w:rsidR="00970832" w:rsidRDefault="00970832" w:rsidP="004E5A2A">
      <w:r>
        <w:t xml:space="preserve">Model: </w:t>
      </w:r>
      <w:r>
        <w:tab/>
      </w:r>
      <w:r>
        <w:tab/>
        <w:t>………………………………………………………………</w:t>
      </w:r>
    </w:p>
    <w:tbl>
      <w:tblPr>
        <w:tblW w:w="145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0"/>
        <w:gridCol w:w="6095"/>
        <w:gridCol w:w="5508"/>
      </w:tblGrid>
      <w:tr w:rsidR="00970832" w:rsidRPr="00652192" w:rsidTr="00672CA7">
        <w:trPr>
          <w:tblHeader/>
        </w:trPr>
        <w:tc>
          <w:tcPr>
            <w:tcW w:w="567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Lp.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Nazwa komponentu</w:t>
            </w:r>
          </w:p>
        </w:tc>
        <w:tc>
          <w:tcPr>
            <w:tcW w:w="6095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 xml:space="preserve">Wymagane minimalne parametry techniczne </w:t>
            </w:r>
          </w:p>
        </w:tc>
        <w:tc>
          <w:tcPr>
            <w:tcW w:w="5508" w:type="dxa"/>
            <w:shd w:val="clear" w:color="auto" w:fill="E0E0E0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Oferowane parametry techniczne</w:t>
            </w: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Rozbudowa</w:t>
            </w:r>
          </w:p>
        </w:tc>
        <w:tc>
          <w:tcPr>
            <w:tcW w:w="6095" w:type="dxa"/>
          </w:tcPr>
          <w:p w:rsidR="00970832" w:rsidRPr="00A506FC" w:rsidRDefault="00970832" w:rsidP="005C4D7D">
            <w:pPr>
              <w:suppressAutoHyphens/>
              <w:spacing w:after="0"/>
              <w:rPr>
                <w:bCs/>
              </w:rPr>
            </w:pPr>
            <w:r w:rsidRPr="00652192">
              <w:t xml:space="preserve">Rozbudowa macierzy dyskowej HPE 3PAR 8200 o dodatkową półkę dyskowa wyposażoną w 12 napędów dyskowych SAS, każdy o pojemności minimum  8TB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652192">
                <w:t>3,5”</w:t>
              </w:r>
            </w:smartTag>
            <w:r w:rsidRPr="00652192">
              <w:t>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2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  <w:lang w:val="en-US"/>
              </w:rPr>
              <w:t>Wsparcie techniczne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 xml:space="preserve">Wymagane 3-letnie wsparcie techniczne producenta z możliwością zgłaszania problemów 24x7 i z czasem reakcji 4 godzin. Wsparcie musi obejmować usługę aktualizacji oprogramowania wewnętrznego macierzy. </w:t>
            </w:r>
          </w:p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Wsparcie musi obejmować pozostawienie uszkodzonych nośników w siedzibie Zamawiającego.</w:t>
            </w:r>
          </w:p>
          <w:p w:rsidR="00970832" w:rsidRPr="00847F94" w:rsidRDefault="00970832" w:rsidP="005C4D7D">
            <w:pPr>
              <w:suppressAutoHyphens/>
              <w:spacing w:after="0"/>
              <w:rPr>
                <w:bCs/>
                <w:color w:val="000000"/>
              </w:rPr>
            </w:pPr>
            <w:r w:rsidRPr="00652192">
              <w:t>Wykonawca wraz z dostawą urządzeń przedstawi oświadczenie producenta urządzeń, które będzie potwierdzało, że urządzenia objęte są gwarancją na terenie Polski zgodną z wymaganiami Zamawiającego. Oświadczenie to musi zawierać informację o numerach seryjnych urządzeń, numerach katalogowych urządzeń, dane wykonawcy oraz dane klienta końcowego.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3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b/>
                <w:color w:val="000000"/>
                <w:lang w:val="en-US"/>
              </w:rPr>
            </w:pPr>
            <w:r w:rsidRPr="00652192">
              <w:rPr>
                <w:b/>
                <w:color w:val="000000"/>
                <w:lang w:val="en-US"/>
              </w:rPr>
              <w:t>Instalacja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rPr>
                <w:highlight w:val="yellow"/>
              </w:rPr>
            </w:pPr>
            <w:r w:rsidRPr="00652192">
              <w:t>W ramach realizacji przedmiotu zamówienia Wykonawca  zainstaluje, uruchomi półkę dyskową oraz wykona rekonfigurację macierzy. Usługi muszą być wykonywane przez osobę posiadającą odpowiednie doświadczenie i kwalifikację (co najmniej jedna osoba posiadająca certyfikat HPE Accredited Solution Expert Storage Solutions Architect V3 lub nowszy).</w:t>
            </w:r>
          </w:p>
        </w:tc>
        <w:tc>
          <w:tcPr>
            <w:tcW w:w="5508" w:type="dxa"/>
          </w:tcPr>
          <w:p w:rsidR="00970832" w:rsidRPr="00652192" w:rsidRDefault="00970832" w:rsidP="005C4D7D"/>
        </w:tc>
      </w:tr>
    </w:tbl>
    <w:p w:rsidR="00970832" w:rsidRPr="00220C25" w:rsidRDefault="00970832" w:rsidP="004E5A2A"/>
    <w:p w:rsidR="00970832" w:rsidRPr="000A6576" w:rsidRDefault="00970832" w:rsidP="004E5A2A">
      <w:pPr>
        <w:pStyle w:val="Heading2"/>
        <w:ind w:left="284" w:hanging="284"/>
        <w:rPr>
          <w:color w:val="000000"/>
        </w:rPr>
      </w:pPr>
      <w:r>
        <w:rPr>
          <w:color w:val="000000"/>
        </w:rPr>
        <w:t>Rozbudowa przełączników sieciowych Aruba 5400</w:t>
      </w:r>
    </w:p>
    <w:p w:rsidR="00970832" w:rsidRDefault="00970832" w:rsidP="004E5A2A">
      <w:r>
        <w:t xml:space="preserve">Wymagane jest dostarczenie modułów kart liniowych do posiadanych przez Zamawiającego przełączników </w:t>
      </w:r>
      <w:r w:rsidRPr="000F11B3">
        <w:t>Aruba 5406R zl2</w:t>
      </w:r>
      <w:r>
        <w:t xml:space="preserve"> spełniające poniżej opisane  minimalne parametry funkcjonalne.</w:t>
      </w:r>
    </w:p>
    <w:p w:rsidR="00970832" w:rsidRDefault="00970832" w:rsidP="004E5A2A">
      <w:r>
        <w:t xml:space="preserve">Producent: </w:t>
      </w:r>
      <w:r>
        <w:tab/>
        <w:t>………………………………………………………………</w:t>
      </w:r>
    </w:p>
    <w:p w:rsidR="00970832" w:rsidRDefault="00970832" w:rsidP="004E5A2A">
      <w:r>
        <w:t xml:space="preserve">Model: </w:t>
      </w:r>
      <w:r>
        <w:tab/>
      </w:r>
      <w:r>
        <w:tab/>
        <w:t>………………………………………………………………</w:t>
      </w:r>
    </w:p>
    <w:tbl>
      <w:tblPr>
        <w:tblW w:w="145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0"/>
        <w:gridCol w:w="6095"/>
        <w:gridCol w:w="5508"/>
      </w:tblGrid>
      <w:tr w:rsidR="00970832" w:rsidRPr="00652192" w:rsidTr="00672CA7">
        <w:trPr>
          <w:tblHeader/>
        </w:trPr>
        <w:tc>
          <w:tcPr>
            <w:tcW w:w="567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Lp.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Nazwa komponentu</w:t>
            </w:r>
          </w:p>
        </w:tc>
        <w:tc>
          <w:tcPr>
            <w:tcW w:w="6095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 xml:space="preserve">Wymagane minimalne parametry techniczne </w:t>
            </w:r>
          </w:p>
        </w:tc>
        <w:tc>
          <w:tcPr>
            <w:tcW w:w="5508" w:type="dxa"/>
            <w:shd w:val="clear" w:color="auto" w:fill="E0E0E0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Oferowane parametry techniczne</w:t>
            </w: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Rozbudowa</w:t>
            </w:r>
          </w:p>
        </w:tc>
        <w:tc>
          <w:tcPr>
            <w:tcW w:w="6095" w:type="dxa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 xml:space="preserve">Rozbudowa przełączników sieciowych Aruba 5406R zl2 </w:t>
            </w:r>
          </w:p>
          <w:p w:rsidR="00970832" w:rsidRPr="00A506FC" w:rsidRDefault="00970832" w:rsidP="005C4D7D">
            <w:pPr>
              <w:suppressAutoHyphens/>
              <w:spacing w:after="0"/>
              <w:rPr>
                <w:bCs/>
              </w:rPr>
            </w:pPr>
            <w:r>
              <w:rPr>
                <w:bCs/>
              </w:rPr>
              <w:t xml:space="preserve">o 8 szt. kart liniowych wyposażonych w co najmniej </w:t>
            </w:r>
            <w:r w:rsidRPr="000F11B3">
              <w:rPr>
                <w:bCs/>
              </w:rPr>
              <w:t>24 porty 10/100/1000 BASE-T PoE+</w:t>
            </w:r>
            <w:r>
              <w:rPr>
                <w:bCs/>
              </w:rPr>
              <w:t>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2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  <w:lang w:val="en-US"/>
              </w:rPr>
              <w:t>Wsparcie techniczne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Wymagana minimum 5-letnia gwarancja producenta przez cały okres posiadania urządzenia przez Zamawiającego.</w:t>
            </w:r>
          </w:p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Wysyłka NBD w przypadku awarii.</w:t>
            </w:r>
          </w:p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Serwis urządzeń musi być realizowany przez producenta lub autoryzowanego partnera serwisowego producenta.</w:t>
            </w:r>
          </w:p>
          <w:p w:rsidR="00970832" w:rsidRPr="00652192" w:rsidRDefault="00970832" w:rsidP="005C4D7D">
            <w:pPr>
              <w:suppressAutoHyphens/>
              <w:spacing w:after="0"/>
            </w:pPr>
          </w:p>
          <w:p w:rsidR="00970832" w:rsidRPr="00652192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bCs/>
                <w:highlight w:val="yellow"/>
              </w:rPr>
              <w:t>Parametr punktowany:</w:t>
            </w:r>
          </w:p>
          <w:p w:rsidR="00970832" w:rsidRPr="00652192" w:rsidRDefault="00970832" w:rsidP="005C4D7D">
            <w:pPr>
              <w:suppressAutoHyphens/>
              <w:spacing w:after="0"/>
              <w:rPr>
                <w:b/>
                <w:bCs/>
                <w:highlight w:val="yellow"/>
              </w:rPr>
            </w:pPr>
            <w:r w:rsidRPr="00652192">
              <w:rPr>
                <w:b/>
                <w:bCs/>
                <w:highlight w:val="yellow"/>
              </w:rPr>
              <w:t>5-letnie wsparcie – 0 punktów</w:t>
            </w:r>
          </w:p>
          <w:p w:rsidR="00970832" w:rsidRPr="00652192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bCs/>
                <w:highlight w:val="yellow"/>
              </w:rPr>
              <w:t>dożywotnie wsparcie – 10 punktów</w:t>
            </w:r>
          </w:p>
          <w:p w:rsidR="00970832" w:rsidRPr="00652192" w:rsidRDefault="00970832" w:rsidP="005C4D7D">
            <w:pPr>
              <w:suppressAutoHyphens/>
              <w:spacing w:after="0"/>
            </w:pPr>
          </w:p>
          <w:p w:rsidR="00970832" w:rsidRPr="00652192" w:rsidRDefault="00970832" w:rsidP="005C4D7D">
            <w:pPr>
              <w:suppressAutoHyphens/>
              <w:spacing w:after="0"/>
            </w:pP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  <w:r>
              <w:t>Podać ile lat wsparcia;</w:t>
            </w: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3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b/>
                <w:color w:val="000000"/>
                <w:lang w:val="en-US"/>
              </w:rPr>
            </w:pPr>
            <w:r w:rsidRPr="00652192">
              <w:rPr>
                <w:b/>
                <w:color w:val="000000"/>
                <w:lang w:val="en-US"/>
              </w:rPr>
              <w:t>Wymagania dodatkowe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Karta musi być nowa oraz pochodzić z autoryzowanego kanału dystrybucji producenta.</w:t>
            </w:r>
          </w:p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Wykonawca wraz z dostawą urządzeń przedstawi oświadczenie producenta urządzeń, które będzie potwierdzało, że urządzenia objęte są gwarancją na terenie Polski zgodną z wymaganiami Zamawiającego. Oświadczenie to musi zawierać informację o numerach seryjnych urządzeń, numerach katalogowych urządzeń, dane wykonawcy oraz dane klienta końcowego.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</w:tbl>
    <w:p w:rsidR="00970832" w:rsidRPr="00220C25" w:rsidRDefault="00970832" w:rsidP="004E5A2A"/>
    <w:p w:rsidR="00970832" w:rsidRPr="000A6576" w:rsidRDefault="00970832" w:rsidP="004E5A2A">
      <w:pPr>
        <w:pStyle w:val="Heading2"/>
        <w:ind w:left="284" w:hanging="284"/>
        <w:rPr>
          <w:color w:val="000000"/>
        </w:rPr>
      </w:pPr>
      <w:r>
        <w:rPr>
          <w:color w:val="000000"/>
        </w:rPr>
        <w:t>Odnowienie wsparcia serwisowego dla macierzy Fujitsu DX80 S2 oraz usługi konfiguracyjne</w:t>
      </w:r>
    </w:p>
    <w:p w:rsidR="00970832" w:rsidRDefault="00970832" w:rsidP="004E5A2A">
      <w:r>
        <w:t>Wymagane jest dostarczenie odnowienia wsparcia serwisowego producenta dla posiadanej przez Zamawiającego macierzy dyskowej Fujitsu DX80 S2 oraz wykonanie wyspecyfikowanych usług konfiguracyjnych.</w:t>
      </w:r>
    </w:p>
    <w:p w:rsidR="00970832" w:rsidRDefault="00970832" w:rsidP="004E5A2A">
      <w:r>
        <w:t xml:space="preserve">Producent: </w:t>
      </w:r>
      <w:r>
        <w:tab/>
        <w:t>………………………………………………………………</w:t>
      </w:r>
    </w:p>
    <w:p w:rsidR="00970832" w:rsidRDefault="00970832" w:rsidP="004E5A2A">
      <w:r>
        <w:t xml:space="preserve">Model: </w:t>
      </w:r>
      <w:r>
        <w:tab/>
      </w:r>
      <w:r>
        <w:tab/>
        <w:t>………………………………………………………………</w:t>
      </w:r>
    </w:p>
    <w:tbl>
      <w:tblPr>
        <w:tblW w:w="145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0"/>
        <w:gridCol w:w="6095"/>
        <w:gridCol w:w="5508"/>
      </w:tblGrid>
      <w:tr w:rsidR="00970832" w:rsidRPr="00652192" w:rsidTr="00672CA7">
        <w:trPr>
          <w:tblHeader/>
        </w:trPr>
        <w:tc>
          <w:tcPr>
            <w:tcW w:w="567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Lp.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Nazwa komponentu</w:t>
            </w:r>
          </w:p>
        </w:tc>
        <w:tc>
          <w:tcPr>
            <w:tcW w:w="6095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 xml:space="preserve">Wymagane minimalne parametry techniczne </w:t>
            </w:r>
          </w:p>
        </w:tc>
        <w:tc>
          <w:tcPr>
            <w:tcW w:w="5508" w:type="dxa"/>
            <w:shd w:val="clear" w:color="auto" w:fill="E0E0E0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Oferowane parametry techniczne</w:t>
            </w: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Model macierzy</w:t>
            </w:r>
          </w:p>
        </w:tc>
        <w:tc>
          <w:tcPr>
            <w:tcW w:w="6095" w:type="dxa"/>
          </w:tcPr>
          <w:p w:rsidR="00970832" w:rsidRPr="00A506FC" w:rsidRDefault="00970832" w:rsidP="005C4D7D">
            <w:pPr>
              <w:suppressAutoHyphens/>
              <w:spacing w:after="0"/>
              <w:rPr>
                <w:bCs/>
              </w:rPr>
            </w:pPr>
            <w:r w:rsidRPr="00652192">
              <w:t>Fujitsu DX80 S2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2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b/>
                <w:color w:val="000000"/>
              </w:rPr>
            </w:pPr>
            <w:r w:rsidRPr="00652192">
              <w:rPr>
                <w:b/>
                <w:color w:val="000000"/>
              </w:rPr>
              <w:t>Part numer macierzy</w:t>
            </w:r>
          </w:p>
        </w:tc>
        <w:tc>
          <w:tcPr>
            <w:tcW w:w="6095" w:type="dxa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ET082DCU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3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b/>
                <w:color w:val="000000"/>
              </w:rPr>
            </w:pPr>
            <w:r w:rsidRPr="00652192">
              <w:rPr>
                <w:b/>
                <w:color w:val="000000"/>
              </w:rPr>
              <w:t>Nr seryjny macierzy</w:t>
            </w:r>
          </w:p>
        </w:tc>
        <w:tc>
          <w:tcPr>
            <w:tcW w:w="6095" w:type="dxa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4511231592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4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  <w:lang w:val="en-US"/>
              </w:rPr>
              <w:t>Poziom wsparcia serwisowego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Wymagane roczne wsparcie techniczne z możliwością zgłaszania problemów w dni robocze w godzinach 8-17 i z czasem reakcji w następnym dniu roboczym.</w:t>
            </w:r>
          </w:p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Serwis urządzeń musi być realizowany przez producenta lub autoryzowanego partnera serwisowego producenta.</w:t>
            </w:r>
          </w:p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Wykonawca wraz z dostawą odnowienia przedstawi oświadczenie producenta urządzeń, które będzie potwierdzało, że urządzenia objęte są gwarancją na terenie Polski zgodną z wymaganiami Zamawiającego. Oświadczenie to musi zawierać informację o nr seryjnych urządzeń, nr katalogowych urządzeń, dane wykonawcy oraz dane klienta końcowego.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5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b/>
                <w:color w:val="000000"/>
                <w:lang w:val="en-US"/>
              </w:rPr>
            </w:pPr>
            <w:r w:rsidRPr="00652192">
              <w:rPr>
                <w:b/>
                <w:color w:val="000000"/>
                <w:lang w:val="en-US"/>
              </w:rPr>
              <w:t>Usługi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>Macierz Fujitsu DX80 S2 jest wykorzystywana przez odseparowaną platformę wirtualizacyjną VMware vSphere w wersji 5.5. W ramach postępowania wymagane jest: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5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Migracja wszystkich maszyn wirtualnych zlokalizowanych na w/w platformie do drugiego, posiadanego przez zamawiającego,  środowiska wirtualizacyjnego opartego o platformę HPE Synergy oraz VMware vSphere 7.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5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Konfiguracja sieci SAN na potrzeby podłączenia macierzy do platformy HPE Synergy.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5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Podłączenie macierzy Fujitsu DX80 S2 do platformy HPE Synergy.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5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Aktualizacja oprogramowania firmware macierzy DX80 S2.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5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Rekonfiguracja grup RAID zgodnie z zaleceniami Zamawiającego.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5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>Utworzenie wolumenów logicznych i prezentacja do platformy wirtualizacyjnej.</w:t>
            </w:r>
          </w:p>
          <w:p w:rsidR="00970832" w:rsidRPr="00F53BF0" w:rsidRDefault="00970832" w:rsidP="004E5A2A">
            <w:pPr>
              <w:pStyle w:val="ListParagraph"/>
              <w:numPr>
                <w:ilvl w:val="0"/>
                <w:numId w:val="5"/>
              </w:numPr>
              <w:suppressAutoHyphens/>
              <w:spacing w:after="0"/>
              <w:rPr>
                <w:sz w:val="22"/>
                <w:szCs w:val="22"/>
                <w:lang w:eastAsia="en-US"/>
              </w:rPr>
            </w:pPr>
            <w:r w:rsidRPr="00F53BF0">
              <w:rPr>
                <w:sz w:val="22"/>
                <w:szCs w:val="22"/>
                <w:lang w:eastAsia="en-US"/>
              </w:rPr>
              <w:t xml:space="preserve">Optymalizacja konfiguracji macierzy HPE 3PAR 8200 oraz Fujitsu DX80 S2. 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</w:tbl>
    <w:p w:rsidR="00970832" w:rsidRDefault="00970832" w:rsidP="004E5A2A"/>
    <w:p w:rsidR="00970832" w:rsidRPr="000A6576" w:rsidRDefault="00970832" w:rsidP="004E5A2A">
      <w:pPr>
        <w:pStyle w:val="Heading2"/>
        <w:ind w:left="284" w:hanging="284"/>
        <w:rPr>
          <w:color w:val="000000"/>
        </w:rPr>
      </w:pPr>
      <w:r>
        <w:rPr>
          <w:color w:val="000000"/>
        </w:rPr>
        <w:t>Odnowienie wsparcia dla urządzeń FortiGate 60F</w:t>
      </w:r>
    </w:p>
    <w:p w:rsidR="00970832" w:rsidRDefault="00970832" w:rsidP="004E5A2A">
      <w:r>
        <w:t>Wymagane jest odnowienia wsparcia producenta  do posiadanych przez Zamawiającego urządzeń FortiGate 60F (2 szt.).</w:t>
      </w:r>
    </w:p>
    <w:p w:rsidR="00970832" w:rsidRDefault="00970832" w:rsidP="004E5A2A">
      <w:r>
        <w:t xml:space="preserve">Producent: </w:t>
      </w:r>
      <w:r>
        <w:tab/>
        <w:t>………………………………………………………………</w:t>
      </w:r>
    </w:p>
    <w:p w:rsidR="00970832" w:rsidRPr="00220C25" w:rsidRDefault="00970832" w:rsidP="004E5A2A">
      <w:r>
        <w:t xml:space="preserve">Model: </w:t>
      </w:r>
      <w:r>
        <w:tab/>
      </w:r>
      <w:r>
        <w:tab/>
        <w:t>………………………………………………………………</w:t>
      </w:r>
    </w:p>
    <w:p w:rsidR="00970832" w:rsidRDefault="00970832" w:rsidP="004E5A2A"/>
    <w:tbl>
      <w:tblPr>
        <w:tblW w:w="145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0"/>
        <w:gridCol w:w="6095"/>
        <w:gridCol w:w="5508"/>
      </w:tblGrid>
      <w:tr w:rsidR="00970832" w:rsidRPr="00652192" w:rsidTr="00672CA7">
        <w:trPr>
          <w:tblHeader/>
        </w:trPr>
        <w:tc>
          <w:tcPr>
            <w:tcW w:w="567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Lp.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Nazwa komponentu</w:t>
            </w:r>
          </w:p>
        </w:tc>
        <w:tc>
          <w:tcPr>
            <w:tcW w:w="6095" w:type="dxa"/>
            <w:shd w:val="clear" w:color="auto" w:fill="E0E0E0"/>
            <w:vAlign w:val="center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 xml:space="preserve">Wymagane minimalne parametry techniczne </w:t>
            </w:r>
          </w:p>
        </w:tc>
        <w:tc>
          <w:tcPr>
            <w:tcW w:w="5508" w:type="dxa"/>
            <w:shd w:val="clear" w:color="auto" w:fill="E0E0E0"/>
          </w:tcPr>
          <w:p w:rsidR="00970832" w:rsidRPr="00652192" w:rsidRDefault="00970832" w:rsidP="005C4D7D">
            <w:pPr>
              <w:suppressAutoHyphens/>
              <w:spacing w:after="0"/>
              <w:ind w:left="-71"/>
              <w:jc w:val="center"/>
              <w:rPr>
                <w:b/>
                <w:bCs/>
              </w:rPr>
            </w:pPr>
            <w:r w:rsidRPr="00652192">
              <w:rPr>
                <w:b/>
                <w:bCs/>
              </w:rPr>
              <w:t>Oferowane parametry techniczne</w:t>
            </w: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1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</w:rPr>
              <w:t>Model urządzenia</w:t>
            </w:r>
          </w:p>
        </w:tc>
        <w:tc>
          <w:tcPr>
            <w:tcW w:w="6095" w:type="dxa"/>
          </w:tcPr>
          <w:p w:rsidR="00970832" w:rsidRPr="00A506FC" w:rsidRDefault="00970832" w:rsidP="005C4D7D">
            <w:pPr>
              <w:suppressAutoHyphens/>
              <w:spacing w:after="0"/>
              <w:rPr>
                <w:bCs/>
              </w:rPr>
            </w:pPr>
            <w:r w:rsidRPr="00652192">
              <w:t>FortiGate 60F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2</w:t>
            </w:r>
          </w:p>
        </w:tc>
        <w:tc>
          <w:tcPr>
            <w:tcW w:w="2410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b/>
                <w:color w:val="000000"/>
              </w:rPr>
            </w:pPr>
            <w:r w:rsidRPr="00652192">
              <w:rPr>
                <w:b/>
                <w:color w:val="000000"/>
              </w:rPr>
              <w:t>Nr seryjny urządzenia</w:t>
            </w:r>
          </w:p>
        </w:tc>
        <w:tc>
          <w:tcPr>
            <w:tcW w:w="6095" w:type="dxa"/>
          </w:tcPr>
          <w:p w:rsidR="00970832" w:rsidRPr="00652192" w:rsidRDefault="00970832" w:rsidP="005C4D7D">
            <w:pPr>
              <w:suppressAutoHyphens/>
              <w:spacing w:after="0"/>
            </w:pPr>
            <w:r w:rsidRPr="00652192">
              <w:t xml:space="preserve">FGT60FTK20012207     </w:t>
            </w:r>
          </w:p>
          <w:p w:rsidR="00970832" w:rsidRPr="00652192" w:rsidRDefault="00970832" w:rsidP="005C4D7D">
            <w:pPr>
              <w:suppressAutoHyphens/>
              <w:spacing w:after="0"/>
            </w:pPr>
            <w:r w:rsidRPr="00652192">
              <w:t xml:space="preserve">FGT60FTK20012344     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</w:pPr>
          </w:p>
        </w:tc>
      </w:tr>
      <w:tr w:rsidR="00970832" w:rsidRPr="00652192" w:rsidTr="00672CA7">
        <w:tc>
          <w:tcPr>
            <w:tcW w:w="567" w:type="dxa"/>
            <w:shd w:val="clear" w:color="auto" w:fill="D9D9D9"/>
            <w:vAlign w:val="center"/>
          </w:tcPr>
          <w:p w:rsidR="00970832" w:rsidRPr="00652192" w:rsidRDefault="00970832" w:rsidP="005C4D7D">
            <w:pPr>
              <w:suppressAutoHyphens/>
              <w:spacing w:after="0"/>
              <w:jc w:val="center"/>
            </w:pPr>
            <w:r w:rsidRPr="00652192">
              <w:t>3</w:t>
            </w:r>
          </w:p>
        </w:tc>
        <w:tc>
          <w:tcPr>
            <w:tcW w:w="2410" w:type="dxa"/>
            <w:vAlign w:val="center"/>
          </w:tcPr>
          <w:p w:rsidR="00970832" w:rsidRPr="00F84F4B" w:rsidRDefault="00970832" w:rsidP="005C4D7D">
            <w:pPr>
              <w:suppressAutoHyphens/>
              <w:spacing w:after="0"/>
              <w:rPr>
                <w:b/>
                <w:bCs/>
              </w:rPr>
            </w:pPr>
            <w:r w:rsidRPr="00652192">
              <w:rPr>
                <w:b/>
                <w:color w:val="000000"/>
                <w:lang w:val="en-US"/>
              </w:rPr>
              <w:t>Poziom wsparcia serwisowego</w:t>
            </w:r>
          </w:p>
        </w:tc>
        <w:tc>
          <w:tcPr>
            <w:tcW w:w="6095" w:type="dxa"/>
            <w:vAlign w:val="center"/>
          </w:tcPr>
          <w:p w:rsidR="00970832" w:rsidRPr="00652192" w:rsidRDefault="00970832" w:rsidP="005C4D7D">
            <w:pPr>
              <w:suppressAutoHyphens/>
              <w:spacing w:after="0"/>
              <w:rPr>
                <w:lang w:val="en-US"/>
              </w:rPr>
            </w:pPr>
            <w:r w:rsidRPr="00652192">
              <w:rPr>
                <w:lang w:val="en-US"/>
              </w:rPr>
              <w:t>FC-10-0060F-950-02-12</w:t>
            </w:r>
          </w:p>
          <w:p w:rsidR="00970832" w:rsidRPr="00652192" w:rsidRDefault="00970832" w:rsidP="005C4D7D">
            <w:pPr>
              <w:suppressAutoHyphens/>
              <w:spacing w:after="0"/>
              <w:rPr>
                <w:lang w:val="en-US"/>
              </w:rPr>
            </w:pPr>
          </w:p>
          <w:p w:rsidR="00970832" w:rsidRPr="00652192" w:rsidRDefault="00970832" w:rsidP="005C4D7D">
            <w:pPr>
              <w:suppressAutoHyphens/>
              <w:spacing w:after="0"/>
              <w:rPr>
                <w:lang w:val="en-US"/>
              </w:rPr>
            </w:pPr>
            <w:r w:rsidRPr="00652192">
              <w:rPr>
                <w:lang w:val="en-US"/>
              </w:rPr>
              <w:t>FortiGate-60F 1 Year Unified Threat Protection (UTP) (24x7 FortiCare plus Application Control, IPS, AV, Web Filtering and Antispam, FortiSandbox Cloud)</w:t>
            </w:r>
          </w:p>
        </w:tc>
        <w:tc>
          <w:tcPr>
            <w:tcW w:w="5508" w:type="dxa"/>
          </w:tcPr>
          <w:p w:rsidR="00970832" w:rsidRPr="00652192" w:rsidRDefault="00970832" w:rsidP="005C4D7D">
            <w:pPr>
              <w:suppressAutoHyphens/>
              <w:spacing w:after="0"/>
              <w:rPr>
                <w:lang w:val="en-US"/>
              </w:rPr>
            </w:pPr>
          </w:p>
        </w:tc>
      </w:tr>
    </w:tbl>
    <w:p w:rsidR="00970832" w:rsidRPr="0025376A" w:rsidRDefault="00970832">
      <w:pPr>
        <w:rPr>
          <w:rFonts w:cs="Arial"/>
          <w:b/>
          <w:sz w:val="24"/>
          <w:szCs w:val="24"/>
          <w:lang w:val="en-US"/>
        </w:rPr>
      </w:pPr>
    </w:p>
    <w:sectPr w:rsidR="00970832" w:rsidRPr="0025376A" w:rsidSect="00B25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E5D"/>
    <w:multiLevelType w:val="hybridMultilevel"/>
    <w:tmpl w:val="AD528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3E4F"/>
    <w:multiLevelType w:val="hybridMultilevel"/>
    <w:tmpl w:val="F8CA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76B2C"/>
    <w:multiLevelType w:val="hybridMultilevel"/>
    <w:tmpl w:val="87DEEF0C"/>
    <w:lvl w:ilvl="0" w:tplc="EC342764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C0157"/>
    <w:multiLevelType w:val="hybridMultilevel"/>
    <w:tmpl w:val="4D0C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4703DB"/>
    <w:multiLevelType w:val="hybridMultilevel"/>
    <w:tmpl w:val="AD528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A2A"/>
    <w:rsid w:val="000818A6"/>
    <w:rsid w:val="000A6576"/>
    <w:rsid w:val="000F11B3"/>
    <w:rsid w:val="00186F58"/>
    <w:rsid w:val="00193B02"/>
    <w:rsid w:val="00220C25"/>
    <w:rsid w:val="0025376A"/>
    <w:rsid w:val="00281A7B"/>
    <w:rsid w:val="00343BE5"/>
    <w:rsid w:val="00443C21"/>
    <w:rsid w:val="004E5A2A"/>
    <w:rsid w:val="00527996"/>
    <w:rsid w:val="005C4D7D"/>
    <w:rsid w:val="00652192"/>
    <w:rsid w:val="00672CA7"/>
    <w:rsid w:val="00683FD7"/>
    <w:rsid w:val="007B0AE1"/>
    <w:rsid w:val="00847F94"/>
    <w:rsid w:val="008C68B4"/>
    <w:rsid w:val="008D6C53"/>
    <w:rsid w:val="00925D22"/>
    <w:rsid w:val="00933CAD"/>
    <w:rsid w:val="00936C05"/>
    <w:rsid w:val="00970832"/>
    <w:rsid w:val="009C214B"/>
    <w:rsid w:val="009E34DF"/>
    <w:rsid w:val="00A506FC"/>
    <w:rsid w:val="00B12A37"/>
    <w:rsid w:val="00B258F9"/>
    <w:rsid w:val="00C17316"/>
    <w:rsid w:val="00F03EBB"/>
    <w:rsid w:val="00F53BF0"/>
    <w:rsid w:val="00F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2A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A2A"/>
    <w:pPr>
      <w:keepNext/>
      <w:keepLines/>
      <w:numPr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5A2A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aliases w:val="Podsis rysunku"/>
    <w:basedOn w:val="Normal"/>
    <w:link w:val="ListParagraphChar"/>
    <w:uiPriority w:val="99"/>
    <w:qFormat/>
    <w:rsid w:val="004E5A2A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Podsis rysunku Char"/>
    <w:link w:val="ListParagraph"/>
    <w:uiPriority w:val="99"/>
    <w:locked/>
    <w:rsid w:val="004E5A2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1593</Words>
  <Characters>9563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Marcin Grabowski</dc:creator>
  <cp:keywords/>
  <dc:description/>
  <cp:lastModifiedBy>jerzykachnikiewicz</cp:lastModifiedBy>
  <cp:revision>2</cp:revision>
  <dcterms:created xsi:type="dcterms:W3CDTF">2021-06-24T08:13:00Z</dcterms:created>
  <dcterms:modified xsi:type="dcterms:W3CDTF">2021-06-24T08:13:00Z</dcterms:modified>
</cp:coreProperties>
</file>