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KOMENDA WOJEWÓDZKA POLICJI</w:t>
      </w:r>
    </w:p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GDAŃSKU</w:t>
      </w:r>
    </w:p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</w:p>
    <w:p w:rsidR="00B53AFE" w:rsidRPr="00B53AFE" w:rsidRDefault="00B53AFE" w:rsidP="00B53AFE">
      <w:pPr>
        <w:spacing w:line="360" w:lineRule="auto"/>
        <w:jc w:val="center"/>
        <w:rPr>
          <w:b/>
          <w:sz w:val="28"/>
          <w:szCs w:val="28"/>
        </w:rPr>
      </w:pPr>
      <w:r w:rsidRPr="00B53AFE">
        <w:rPr>
          <w:b/>
          <w:sz w:val="28"/>
          <w:szCs w:val="28"/>
        </w:rPr>
        <w:t>SPECYFIKACJA TECHNICZNA</w:t>
      </w:r>
    </w:p>
    <w:p w:rsidR="00B53AFE" w:rsidRPr="00B53AFE" w:rsidRDefault="00B53AFE" w:rsidP="00B53AFE">
      <w:pPr>
        <w:jc w:val="center"/>
        <w:rPr>
          <w:b/>
          <w:sz w:val="28"/>
          <w:szCs w:val="28"/>
        </w:rPr>
      </w:pPr>
      <w:r w:rsidRPr="00B53AFE">
        <w:rPr>
          <w:b/>
          <w:sz w:val="28"/>
          <w:szCs w:val="28"/>
        </w:rPr>
        <w:t>RĘCZNY MIOTACZ PIEPRZU O POJEMNOŚCI 75 ml</w:t>
      </w:r>
    </w:p>
    <w:p w:rsidR="00E929AD" w:rsidRDefault="00E929AD">
      <w:pPr>
        <w:spacing w:line="360" w:lineRule="auto"/>
        <w:rPr>
          <w:b/>
          <w:sz w:val="28"/>
          <w:szCs w:val="28"/>
        </w:rPr>
      </w:pPr>
    </w:p>
    <w:p w:rsidR="002A1F78" w:rsidRDefault="002A1F78" w:rsidP="002A1F78"/>
    <w:p w:rsidR="009E1E43" w:rsidRPr="00571C44" w:rsidRDefault="002A1F78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</w:pPr>
      <w:bookmarkStart w:id="0" w:name="_Toc422836031"/>
      <w:r w:rsidRPr="002A1F78">
        <w:rPr>
          <w:rFonts w:ascii="Times New Roman" w:hAnsi="Times New Roman" w:cs="Times New Roman"/>
          <w:sz w:val="24"/>
          <w:szCs w:val="24"/>
          <w:lang w:val="pl-PL"/>
        </w:rPr>
        <w:t>Przeznaczenie</w:t>
      </w:r>
      <w:bookmarkEnd w:id="0"/>
    </w:p>
    <w:p w:rsidR="00E929AD" w:rsidRPr="009149D2" w:rsidRDefault="00FD01CD" w:rsidP="00FD2E95">
      <w:pPr>
        <w:pStyle w:val="Tekstpodstawowywcity"/>
        <w:spacing w:after="0"/>
        <w:ind w:left="426"/>
        <w:jc w:val="both"/>
        <w:rPr>
          <w:strike/>
          <w:szCs w:val="24"/>
          <w:lang w:val="pl-PL"/>
        </w:rPr>
      </w:pPr>
      <w:r>
        <w:rPr>
          <w:szCs w:val="24"/>
          <w:lang w:val="pl-PL"/>
        </w:rPr>
        <w:t xml:space="preserve">Ręczny </w:t>
      </w:r>
      <w:r w:rsidR="00407EB1" w:rsidRPr="009149D2">
        <w:rPr>
          <w:szCs w:val="24"/>
          <w:lang w:val="pl-PL"/>
        </w:rPr>
        <w:t xml:space="preserve">miotacz </w:t>
      </w:r>
      <w:r w:rsidR="00E929AD" w:rsidRPr="009149D2">
        <w:rPr>
          <w:szCs w:val="24"/>
        </w:rPr>
        <w:t xml:space="preserve">pieprzu jest środkiem przymusu bezpośredniego </w:t>
      </w:r>
      <w:r>
        <w:rPr>
          <w:szCs w:val="24"/>
          <w:lang w:val="pl-PL"/>
        </w:rPr>
        <w:t xml:space="preserve">stosowanym </w:t>
      </w:r>
      <w:r w:rsidR="00407EB1" w:rsidRPr="009149D2">
        <w:rPr>
          <w:szCs w:val="24"/>
          <w:lang w:val="pl-PL"/>
        </w:rPr>
        <w:t xml:space="preserve">przez funkcjonariuszy </w:t>
      </w:r>
      <w:r w:rsidR="00543B03" w:rsidRPr="009149D2">
        <w:rPr>
          <w:szCs w:val="24"/>
          <w:lang w:val="pl-PL"/>
        </w:rPr>
        <w:t xml:space="preserve">Policji </w:t>
      </w:r>
      <w:r>
        <w:rPr>
          <w:szCs w:val="24"/>
        </w:rPr>
        <w:t>w przypadkach określonych w</w:t>
      </w:r>
      <w:r>
        <w:rPr>
          <w:szCs w:val="24"/>
          <w:lang w:val="pl-PL"/>
        </w:rPr>
        <w:t xml:space="preserve"> </w:t>
      </w:r>
      <w:r w:rsidR="00543B03" w:rsidRPr="009149D2">
        <w:rPr>
          <w:szCs w:val="24"/>
        </w:rPr>
        <w:t xml:space="preserve">przepisach prawa, szczególnie </w:t>
      </w:r>
      <w:r w:rsidR="009149D2" w:rsidRPr="009149D2">
        <w:rPr>
          <w:szCs w:val="24"/>
          <w:lang w:val="pl-PL"/>
        </w:rPr>
        <w:t xml:space="preserve">                     </w:t>
      </w:r>
      <w:r w:rsidR="00543B03" w:rsidRPr="009149D2">
        <w:rPr>
          <w:szCs w:val="24"/>
        </w:rPr>
        <w:t>w sytuacji</w:t>
      </w:r>
      <w:r w:rsidR="00956494">
        <w:rPr>
          <w:szCs w:val="24"/>
          <w:lang w:val="pl-PL"/>
        </w:rPr>
        <w:t xml:space="preserve"> konieczności</w:t>
      </w:r>
      <w:r w:rsidR="00543B03" w:rsidRPr="009149D2">
        <w:rPr>
          <w:szCs w:val="24"/>
        </w:rPr>
        <w:t xml:space="preserve"> </w:t>
      </w:r>
      <w:r>
        <w:rPr>
          <w:szCs w:val="24"/>
          <w:lang w:val="pl-PL"/>
        </w:rPr>
        <w:t>w</w:t>
      </w:r>
      <w:r w:rsidR="00600EB4">
        <w:rPr>
          <w:szCs w:val="24"/>
          <w:lang w:val="pl-PL"/>
        </w:rPr>
        <w:t>yegzekwowania zachowania zgodnego</w:t>
      </w:r>
      <w:r>
        <w:rPr>
          <w:szCs w:val="24"/>
          <w:lang w:val="pl-PL"/>
        </w:rPr>
        <w:t xml:space="preserve"> z prawem </w:t>
      </w:r>
      <w:r w:rsidR="00543B03" w:rsidRPr="009149D2">
        <w:rPr>
          <w:szCs w:val="24"/>
        </w:rPr>
        <w:t>lub obezwładnienia niebezpiecznej osoby, w tym także znajdującej się pod wpływem alkoholu, narkotyków lub innych, podobnie działających środków</w:t>
      </w:r>
      <w:r w:rsidR="009149D2" w:rsidRPr="009149D2">
        <w:rPr>
          <w:szCs w:val="24"/>
          <w:lang w:val="pl-PL"/>
        </w:rPr>
        <w:t>.</w:t>
      </w:r>
      <w:r w:rsidR="00543B03" w:rsidRPr="009149D2">
        <w:rPr>
          <w:szCs w:val="24"/>
          <w:lang w:val="pl-PL"/>
        </w:rPr>
        <w:t xml:space="preserve"> </w:t>
      </w:r>
    </w:p>
    <w:p w:rsidR="009E1C84" w:rsidRPr="00543B03" w:rsidRDefault="009E1C84" w:rsidP="009E1C84">
      <w:pPr>
        <w:pStyle w:val="Tekstpodstawowywcity"/>
        <w:spacing w:after="0"/>
        <w:ind w:left="357"/>
        <w:jc w:val="both"/>
        <w:rPr>
          <w:strike/>
          <w:szCs w:val="24"/>
          <w:lang w:val="pl-PL"/>
        </w:rPr>
      </w:pPr>
    </w:p>
    <w:p w:rsidR="009E1C84" w:rsidRPr="009E1C84" w:rsidRDefault="00746B19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</w:pPr>
      <w:bookmarkStart w:id="1" w:name="_Toc422836032"/>
      <w:r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>W</w:t>
      </w:r>
      <w:bookmarkEnd w:id="1"/>
      <w:r w:rsidR="00E929AD"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>arunki bezpieczeństwa</w:t>
      </w:r>
    </w:p>
    <w:p w:rsidR="00E929AD" w:rsidRPr="00E929AD" w:rsidRDefault="00E929AD" w:rsidP="00FD2E95">
      <w:pPr>
        <w:pStyle w:val="Tekstpodstawowywcity"/>
        <w:widowControl/>
        <w:numPr>
          <w:ilvl w:val="0"/>
          <w:numId w:val="5"/>
        </w:numPr>
        <w:tabs>
          <w:tab w:val="left" w:pos="426"/>
        </w:tabs>
        <w:suppressAutoHyphens w:val="0"/>
        <w:spacing w:after="0"/>
        <w:ind w:left="714" w:hanging="288"/>
        <w:jc w:val="both"/>
        <w:rPr>
          <w:szCs w:val="24"/>
        </w:rPr>
      </w:pPr>
      <w:r w:rsidRPr="00E929AD">
        <w:rPr>
          <w:szCs w:val="24"/>
        </w:rPr>
        <w:t xml:space="preserve">Działanie substancji czynnej zastosowanej w miotaczu musi być w pełni odwracalne, </w:t>
      </w:r>
      <w:r>
        <w:rPr>
          <w:szCs w:val="24"/>
          <w:lang w:val="pl-PL"/>
        </w:rPr>
        <w:t xml:space="preserve">              </w:t>
      </w:r>
      <w:r w:rsidRPr="00E929AD">
        <w:rPr>
          <w:szCs w:val="24"/>
        </w:rPr>
        <w:t xml:space="preserve">tzn. nie może wywoływać trwałych skutków u osoby, wobec której miotacza użyto. </w:t>
      </w:r>
      <w:r>
        <w:rPr>
          <w:szCs w:val="24"/>
          <w:lang w:val="pl-PL"/>
        </w:rPr>
        <w:t xml:space="preserve">                 </w:t>
      </w:r>
      <w:r w:rsidRPr="00E929AD">
        <w:rPr>
          <w:szCs w:val="24"/>
        </w:rPr>
        <w:t xml:space="preserve">Po przemyciu podrażnionych miejsc wodą działanie substancji czynnej musi ustępować </w:t>
      </w:r>
      <w:r w:rsidR="00F508A6">
        <w:rPr>
          <w:szCs w:val="24"/>
          <w:lang w:val="pl-PL"/>
        </w:rPr>
        <w:t xml:space="preserve">            </w:t>
      </w:r>
      <w:r w:rsidRPr="00E929AD">
        <w:rPr>
          <w:szCs w:val="24"/>
        </w:rPr>
        <w:t>po c</w:t>
      </w:r>
      <w:r w:rsidR="00407EB1">
        <w:rPr>
          <w:szCs w:val="24"/>
        </w:rPr>
        <w:t>zasie nie dłuższym niż ok. 2,5 [h].</w:t>
      </w:r>
    </w:p>
    <w:p w:rsidR="00E929AD" w:rsidRPr="00E929AD" w:rsidRDefault="00E929AD" w:rsidP="00FD2E95">
      <w:pPr>
        <w:pStyle w:val="Tekstpodstawowywcity"/>
        <w:widowControl/>
        <w:numPr>
          <w:ilvl w:val="0"/>
          <w:numId w:val="5"/>
        </w:numPr>
        <w:suppressAutoHyphens w:val="0"/>
        <w:spacing w:after="0"/>
        <w:ind w:hanging="294"/>
        <w:jc w:val="both"/>
        <w:rPr>
          <w:szCs w:val="24"/>
        </w:rPr>
      </w:pPr>
      <w:r w:rsidRPr="00E929AD">
        <w:rPr>
          <w:szCs w:val="24"/>
        </w:rPr>
        <w:t>Zastosowana substancja czynna nie może powodować oparzeń skóry i innych tkanek, a jej działanie musi ograniczać się do czasowego podrażnienia skóry, błony śluzowej: oczu, jamy ustnej i nosa.</w:t>
      </w:r>
    </w:p>
    <w:p w:rsidR="004D2797" w:rsidRPr="009E1C84" w:rsidRDefault="00E929AD" w:rsidP="00FD2E95">
      <w:pPr>
        <w:pStyle w:val="Tekstpodstawowywcity"/>
        <w:widowControl/>
        <w:numPr>
          <w:ilvl w:val="0"/>
          <w:numId w:val="5"/>
        </w:numPr>
        <w:suppressAutoHyphens w:val="0"/>
        <w:spacing w:after="0"/>
        <w:ind w:left="714" w:hanging="288"/>
        <w:jc w:val="both"/>
        <w:rPr>
          <w:szCs w:val="24"/>
        </w:rPr>
      </w:pPr>
      <w:r w:rsidRPr="00E929AD">
        <w:rPr>
          <w:szCs w:val="24"/>
        </w:rPr>
        <w:t>Zawartość miotacza musi być niepalna i nietoksyczna.</w:t>
      </w:r>
    </w:p>
    <w:p w:rsidR="009E1C84" w:rsidRPr="009E1C84" w:rsidRDefault="009E1C84" w:rsidP="009E1C84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:rsidR="009E1E43" w:rsidRPr="009E1E43" w:rsidRDefault="00CE672F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</w:rPr>
      </w:pPr>
      <w:r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>Zasięg i wydajność miotacza</w:t>
      </w:r>
    </w:p>
    <w:p w:rsidR="009E1C84" w:rsidRDefault="009E1C84" w:rsidP="00CE672F">
      <w:pPr>
        <w:pStyle w:val="Tekstpodstawowywcity"/>
        <w:numPr>
          <w:ilvl w:val="0"/>
          <w:numId w:val="12"/>
        </w:numPr>
        <w:spacing w:after="0"/>
        <w:rPr>
          <w:szCs w:val="24"/>
          <w:lang w:val="pl-PL"/>
        </w:rPr>
      </w:pPr>
      <w:r w:rsidRPr="009E1C84">
        <w:rPr>
          <w:szCs w:val="24"/>
        </w:rPr>
        <w:t>Efektywny zasięg strumienia m</w:t>
      </w:r>
      <w:r w:rsidR="00CE672F">
        <w:rPr>
          <w:szCs w:val="24"/>
        </w:rPr>
        <w:t xml:space="preserve">ieszanki pieprzowej - minimum </w:t>
      </w:r>
      <w:r w:rsidR="00CE672F">
        <w:rPr>
          <w:szCs w:val="24"/>
          <w:lang w:val="pl-PL"/>
        </w:rPr>
        <w:t>2</w:t>
      </w:r>
      <w:r w:rsidRPr="009E1C84">
        <w:rPr>
          <w:szCs w:val="24"/>
        </w:rPr>
        <w:t xml:space="preserve"> [m].</w:t>
      </w:r>
    </w:p>
    <w:p w:rsidR="00CE672F" w:rsidRDefault="00CE672F" w:rsidP="004325FC">
      <w:pPr>
        <w:pStyle w:val="Tekstpodstawowywcity"/>
        <w:numPr>
          <w:ilvl w:val="0"/>
          <w:numId w:val="12"/>
        </w:numPr>
        <w:tabs>
          <w:tab w:val="left" w:pos="567"/>
        </w:tabs>
        <w:spacing w:after="0"/>
        <w:ind w:left="709" w:hanging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Wydajność miotacza musi pozwalać na uzyskanie minimum 8 jednosekundowych użyć, </w:t>
      </w:r>
      <w:r w:rsidR="00184FD0">
        <w:rPr>
          <w:szCs w:val="24"/>
          <w:lang w:val="pl-PL"/>
        </w:rPr>
        <w:t xml:space="preserve">  bez wystąpienia spadku zasięgu wystrzeliwanej mieszanki, poniżej wartości progowej                    </w:t>
      </w:r>
      <w:r w:rsidR="00C54FDB">
        <w:rPr>
          <w:szCs w:val="24"/>
          <w:lang w:val="pl-PL"/>
        </w:rPr>
        <w:t>(</w:t>
      </w:r>
      <w:r w:rsidR="00184FD0">
        <w:rPr>
          <w:szCs w:val="24"/>
          <w:lang w:val="pl-PL"/>
        </w:rPr>
        <w:t>2 [m]</w:t>
      </w:r>
      <w:r w:rsidR="00C54FDB">
        <w:rPr>
          <w:szCs w:val="24"/>
          <w:lang w:val="pl-PL"/>
        </w:rPr>
        <w:t>)</w:t>
      </w:r>
      <w:r w:rsidR="00184FD0">
        <w:rPr>
          <w:szCs w:val="24"/>
          <w:lang w:val="pl-PL"/>
        </w:rPr>
        <w:t>.</w:t>
      </w:r>
    </w:p>
    <w:p w:rsidR="009E1C84" w:rsidRPr="009E1C84" w:rsidRDefault="009E1C84" w:rsidP="009E1C84">
      <w:pPr>
        <w:pStyle w:val="Tekstpodstawowywcity"/>
        <w:spacing w:after="0"/>
        <w:ind w:left="357"/>
        <w:rPr>
          <w:szCs w:val="24"/>
          <w:lang w:val="pl-PL"/>
        </w:rPr>
      </w:pPr>
    </w:p>
    <w:p w:rsidR="009E1E43" w:rsidRPr="009E1E43" w:rsidRDefault="009E1C84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</w:rPr>
      </w:pPr>
      <w:r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>Podstawowe dane techniczne</w:t>
      </w:r>
    </w:p>
    <w:p w:rsidR="009E1C84" w:rsidRPr="009E1C84" w:rsidRDefault="009E1C84" w:rsidP="00FD2E95">
      <w:pPr>
        <w:numPr>
          <w:ilvl w:val="0"/>
          <w:numId w:val="6"/>
        </w:numPr>
        <w:tabs>
          <w:tab w:val="left" w:pos="567"/>
        </w:tabs>
        <w:spacing w:line="276" w:lineRule="auto"/>
        <w:ind w:left="426" w:firstLine="0"/>
      </w:pPr>
      <w:r w:rsidRPr="009E1C84">
        <w:rPr>
          <w:szCs w:val="24"/>
        </w:rPr>
        <w:t>Forma ewakuacji substancji czynnej ze zbiornika miotacza - ukierunkowany strumień</w:t>
      </w:r>
      <w:r w:rsidRPr="009E1C84">
        <w:rPr>
          <w:rFonts w:ascii="Arial" w:hAnsi="Arial"/>
          <w:sz w:val="22"/>
        </w:rPr>
        <w:t>.</w:t>
      </w:r>
    </w:p>
    <w:p w:rsidR="009E1C84" w:rsidRPr="009E1C84" w:rsidRDefault="003119C0" w:rsidP="00FD2E95">
      <w:pPr>
        <w:numPr>
          <w:ilvl w:val="0"/>
          <w:numId w:val="6"/>
        </w:numPr>
        <w:tabs>
          <w:tab w:val="left" w:pos="426"/>
        </w:tabs>
        <w:spacing w:line="276" w:lineRule="auto"/>
        <w:ind w:left="709" w:hanging="283"/>
        <w:jc w:val="both"/>
      </w:pPr>
      <w:r>
        <w:rPr>
          <w:szCs w:val="24"/>
        </w:rPr>
        <w:t xml:space="preserve">Rodzaj substancji czynnej </w:t>
      </w:r>
      <w:r w:rsidRPr="00E128DB">
        <w:rPr>
          <w:szCs w:val="24"/>
        </w:rPr>
        <w:t>–</w:t>
      </w:r>
      <w:r w:rsidR="009E1C84" w:rsidRPr="009E1C84">
        <w:rPr>
          <w:szCs w:val="24"/>
        </w:rPr>
        <w:t xml:space="preserve"> 10% (min.) olej pieprzowy</w:t>
      </w:r>
      <w:r w:rsidR="0086355A">
        <w:rPr>
          <w:szCs w:val="24"/>
        </w:rPr>
        <w:t xml:space="preserve"> OC (</w:t>
      </w:r>
      <w:proofErr w:type="spellStart"/>
      <w:r w:rsidR="0086355A">
        <w:rPr>
          <w:szCs w:val="24"/>
        </w:rPr>
        <w:t>Oleoresin</w:t>
      </w:r>
      <w:proofErr w:type="spellEnd"/>
      <w:r w:rsidR="0086355A">
        <w:rPr>
          <w:szCs w:val="24"/>
        </w:rPr>
        <w:t xml:space="preserve"> </w:t>
      </w:r>
      <w:proofErr w:type="spellStart"/>
      <w:r w:rsidR="0086355A">
        <w:rPr>
          <w:szCs w:val="24"/>
        </w:rPr>
        <w:t>Capsicum</w:t>
      </w:r>
      <w:proofErr w:type="spellEnd"/>
      <w:r w:rsidR="0086355A">
        <w:rPr>
          <w:szCs w:val="24"/>
        </w:rPr>
        <w:t>)</w:t>
      </w:r>
      <w:r w:rsidR="009E1C84" w:rsidRPr="009E1C84">
        <w:rPr>
          <w:szCs w:val="24"/>
        </w:rPr>
        <w:t xml:space="preserve">, zawartość czynnego alkaloidu </w:t>
      </w:r>
      <w:proofErr w:type="spellStart"/>
      <w:r w:rsidR="009E1C84" w:rsidRPr="009E1C84">
        <w:rPr>
          <w:szCs w:val="24"/>
        </w:rPr>
        <w:t>capsaicyn</w:t>
      </w:r>
      <w:r w:rsidR="008A395B">
        <w:rPr>
          <w:szCs w:val="24"/>
        </w:rPr>
        <w:t>y</w:t>
      </w:r>
      <w:proofErr w:type="spellEnd"/>
      <w:r w:rsidR="0086355A">
        <w:rPr>
          <w:szCs w:val="24"/>
        </w:rPr>
        <w:t xml:space="preserve"> w OC co najmniej 1,33% </w:t>
      </w:r>
      <w:r w:rsidR="008A395B">
        <w:rPr>
          <w:szCs w:val="24"/>
        </w:rPr>
        <w:t>- o mocy minimum</w:t>
      </w:r>
      <w:r w:rsidR="0086355A">
        <w:rPr>
          <w:szCs w:val="24"/>
        </w:rPr>
        <w:t xml:space="preserve">             </w:t>
      </w:r>
      <w:r w:rsidR="008A395B">
        <w:rPr>
          <w:szCs w:val="24"/>
        </w:rPr>
        <w:t xml:space="preserve"> 2 mln SHU</w:t>
      </w:r>
      <w:r w:rsidR="009E1C84" w:rsidRPr="009E1C84">
        <w:rPr>
          <w:szCs w:val="24"/>
        </w:rPr>
        <w:t>.</w:t>
      </w:r>
    </w:p>
    <w:p w:rsidR="009E1C84" w:rsidRPr="00F508A6" w:rsidRDefault="009E1C84" w:rsidP="00FD2E95">
      <w:pPr>
        <w:pStyle w:val="Tekstpodstawowywcity"/>
        <w:widowControl/>
        <w:numPr>
          <w:ilvl w:val="0"/>
          <w:numId w:val="6"/>
        </w:numPr>
        <w:suppressAutoHyphens w:val="0"/>
        <w:spacing w:after="0"/>
        <w:ind w:hanging="294"/>
        <w:jc w:val="both"/>
        <w:rPr>
          <w:szCs w:val="24"/>
        </w:rPr>
      </w:pPr>
      <w:r w:rsidRPr="00F508A6">
        <w:rPr>
          <w:szCs w:val="24"/>
        </w:rPr>
        <w:t xml:space="preserve">Substancja pędna – </w:t>
      </w:r>
      <w:r w:rsidR="002B7F8E">
        <w:rPr>
          <w:szCs w:val="24"/>
          <w:lang w:val="pl-PL"/>
        </w:rPr>
        <w:t xml:space="preserve">obojętna, </w:t>
      </w:r>
      <w:r w:rsidRPr="00F508A6">
        <w:rPr>
          <w:szCs w:val="24"/>
        </w:rPr>
        <w:t>sprężone powietrze lub inny gaz niepalny</w:t>
      </w:r>
      <w:r w:rsidR="00D84C2F">
        <w:rPr>
          <w:szCs w:val="24"/>
          <w:lang w:val="pl-PL"/>
        </w:rPr>
        <w:t>, nie oparta</w:t>
      </w:r>
      <w:r w:rsidR="002B7F8E">
        <w:rPr>
          <w:szCs w:val="24"/>
          <w:lang w:val="pl-PL"/>
        </w:rPr>
        <w:t xml:space="preserve"> na bazie freonu</w:t>
      </w:r>
      <w:r w:rsidRPr="00F508A6">
        <w:rPr>
          <w:szCs w:val="24"/>
        </w:rPr>
        <w:t>.</w:t>
      </w:r>
    </w:p>
    <w:p w:rsidR="009E1C84" w:rsidRPr="00184FD0" w:rsidRDefault="00184FD0" w:rsidP="00184FD0">
      <w:pPr>
        <w:pStyle w:val="Tekstpodstawowywcity"/>
        <w:widowControl/>
        <w:numPr>
          <w:ilvl w:val="0"/>
          <w:numId w:val="6"/>
        </w:numPr>
        <w:suppressAutoHyphens w:val="0"/>
        <w:spacing w:after="0"/>
        <w:ind w:hanging="294"/>
        <w:jc w:val="both"/>
        <w:rPr>
          <w:szCs w:val="24"/>
        </w:rPr>
      </w:pPr>
      <w:r>
        <w:rPr>
          <w:szCs w:val="24"/>
        </w:rPr>
        <w:t>Pojemnik</w:t>
      </w:r>
      <w:r w:rsidR="003119C0">
        <w:rPr>
          <w:szCs w:val="24"/>
          <w:lang w:val="pl-PL"/>
        </w:rPr>
        <w:t xml:space="preserve"> </w:t>
      </w:r>
      <w:r w:rsidR="003119C0" w:rsidRPr="00E128DB">
        <w:rPr>
          <w:szCs w:val="24"/>
        </w:rPr>
        <w:t>–</w:t>
      </w:r>
      <w:r>
        <w:rPr>
          <w:szCs w:val="24"/>
          <w:lang w:val="pl-PL"/>
        </w:rPr>
        <w:t xml:space="preserve"> ciśnieniowy, cylindryczny, wykonany z aluminium lub jego stopu. </w:t>
      </w:r>
    </w:p>
    <w:p w:rsidR="00DD5E7F" w:rsidRDefault="009E1C84" w:rsidP="00DD5E7F">
      <w:pPr>
        <w:pStyle w:val="Tekstpodstawowywcity"/>
        <w:widowControl/>
        <w:numPr>
          <w:ilvl w:val="0"/>
          <w:numId w:val="6"/>
        </w:numPr>
        <w:suppressAutoHyphens w:val="0"/>
        <w:spacing w:after="0"/>
        <w:ind w:hanging="295"/>
        <w:jc w:val="both"/>
        <w:rPr>
          <w:szCs w:val="24"/>
        </w:rPr>
      </w:pPr>
      <w:r w:rsidRPr="00E128DB">
        <w:rPr>
          <w:szCs w:val="24"/>
        </w:rPr>
        <w:t xml:space="preserve">Głowica z dyszą – </w:t>
      </w:r>
      <w:r w:rsidR="00184FD0" w:rsidRPr="00E128DB">
        <w:rPr>
          <w:szCs w:val="24"/>
          <w:lang w:val="pl-PL"/>
        </w:rPr>
        <w:t>wykonana z wysokowytrzymałego tworzywa sztucznego, wyposażona          w za</w:t>
      </w:r>
      <w:r w:rsidR="00EC1AFB">
        <w:rPr>
          <w:szCs w:val="24"/>
          <w:lang w:val="pl-PL"/>
        </w:rPr>
        <w:t xml:space="preserve">bezpieczenie </w:t>
      </w:r>
      <w:r w:rsidRPr="00E128DB">
        <w:rPr>
          <w:szCs w:val="24"/>
        </w:rPr>
        <w:t xml:space="preserve">przed przypadkowym użyciem miotacza. </w:t>
      </w:r>
      <w:bookmarkStart w:id="2" w:name="_Toc408232527"/>
      <w:bookmarkStart w:id="3" w:name="_Toc414882709"/>
    </w:p>
    <w:p w:rsidR="0005271F" w:rsidRDefault="0005271F" w:rsidP="0005271F">
      <w:pPr>
        <w:pStyle w:val="Tekstpodstawowywcity"/>
        <w:widowControl/>
        <w:suppressAutoHyphens w:val="0"/>
        <w:spacing w:after="0"/>
        <w:jc w:val="both"/>
        <w:rPr>
          <w:szCs w:val="24"/>
        </w:rPr>
      </w:pPr>
    </w:p>
    <w:p w:rsidR="0005271F" w:rsidRPr="0005271F" w:rsidRDefault="0005271F" w:rsidP="0005271F">
      <w:pPr>
        <w:pStyle w:val="Tekstpodstawowywcity"/>
        <w:widowControl/>
        <w:suppressAutoHyphens w:val="0"/>
        <w:spacing w:after="0"/>
        <w:jc w:val="both"/>
        <w:rPr>
          <w:szCs w:val="24"/>
        </w:rPr>
      </w:pPr>
    </w:p>
    <w:p w:rsidR="00DD5E7F" w:rsidRDefault="002C7AB7" w:rsidP="00594F14">
      <w:pPr>
        <w:pStyle w:val="Nagwek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</w:pPr>
      <w:r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 xml:space="preserve">Wymiary </w:t>
      </w:r>
      <w:r w:rsidR="00E128DB">
        <w:rPr>
          <w:rFonts w:ascii="Times New Roman" w:hAnsi="Times New Roman" w:cs="Times New Roman"/>
          <w:bCs/>
          <w:kern w:val="1"/>
          <w:sz w:val="24"/>
          <w:szCs w:val="32"/>
          <w:lang w:val="pl-PL"/>
        </w:rPr>
        <w:t>i pojemność</w:t>
      </w:r>
    </w:p>
    <w:p w:rsidR="00F508A6" w:rsidRDefault="00E128DB" w:rsidP="00594F14">
      <w:pPr>
        <w:pStyle w:val="Tekstpodstawowywcity"/>
        <w:widowControl/>
        <w:numPr>
          <w:ilvl w:val="0"/>
          <w:numId w:val="8"/>
        </w:numPr>
        <w:suppressAutoHyphens w:val="0"/>
        <w:spacing w:after="0"/>
        <w:ind w:hanging="294"/>
        <w:jc w:val="both"/>
        <w:rPr>
          <w:szCs w:val="24"/>
          <w:lang w:val="pl-PL"/>
        </w:rPr>
      </w:pPr>
      <w:r>
        <w:rPr>
          <w:szCs w:val="24"/>
        </w:rPr>
        <w:t xml:space="preserve">Całkowita </w:t>
      </w:r>
      <w:r>
        <w:rPr>
          <w:szCs w:val="24"/>
          <w:lang w:val="pl-PL"/>
        </w:rPr>
        <w:t>wysokość miotacza</w:t>
      </w:r>
      <w:r>
        <w:rPr>
          <w:szCs w:val="24"/>
        </w:rPr>
        <w:t xml:space="preserve">        - </w:t>
      </w:r>
      <w:r>
        <w:rPr>
          <w:szCs w:val="24"/>
          <w:lang w:val="pl-PL"/>
        </w:rPr>
        <w:t>125</w:t>
      </w:r>
      <w:r>
        <w:rPr>
          <w:szCs w:val="24"/>
        </w:rPr>
        <w:t xml:space="preserve"> +/- 1 [m</w:t>
      </w:r>
      <w:r>
        <w:rPr>
          <w:szCs w:val="24"/>
          <w:lang w:val="pl-PL"/>
        </w:rPr>
        <w:t>m</w:t>
      </w:r>
      <w:r w:rsidR="00F508A6" w:rsidRPr="00786789">
        <w:rPr>
          <w:szCs w:val="24"/>
        </w:rPr>
        <w:t>].</w:t>
      </w:r>
    </w:p>
    <w:p w:rsidR="00F508A6" w:rsidRDefault="00E128DB" w:rsidP="00594F14">
      <w:pPr>
        <w:pStyle w:val="Tekstpodstawowywcity"/>
        <w:widowControl/>
        <w:numPr>
          <w:ilvl w:val="0"/>
          <w:numId w:val="8"/>
        </w:numPr>
        <w:suppressAutoHyphens w:val="0"/>
        <w:spacing w:after="0"/>
        <w:ind w:hanging="294"/>
        <w:jc w:val="both"/>
        <w:rPr>
          <w:szCs w:val="24"/>
          <w:lang w:val="pl-PL"/>
        </w:rPr>
      </w:pPr>
      <w:r>
        <w:rPr>
          <w:szCs w:val="24"/>
          <w:lang w:val="pl-PL"/>
        </w:rPr>
        <w:t>Średnica pojemnika miotacza</w:t>
      </w:r>
      <w:r w:rsidR="00F508A6" w:rsidRPr="00786789">
        <w:rPr>
          <w:szCs w:val="24"/>
        </w:rPr>
        <w:t xml:space="preserve">     </w:t>
      </w:r>
      <w:r>
        <w:rPr>
          <w:szCs w:val="24"/>
          <w:lang w:val="pl-PL"/>
        </w:rPr>
        <w:t xml:space="preserve">    </w:t>
      </w:r>
      <w:r>
        <w:rPr>
          <w:szCs w:val="24"/>
        </w:rPr>
        <w:t xml:space="preserve">- </w:t>
      </w:r>
      <w:r>
        <w:rPr>
          <w:szCs w:val="24"/>
          <w:lang w:val="pl-PL"/>
        </w:rPr>
        <w:t xml:space="preserve">35 </w:t>
      </w:r>
      <w:r>
        <w:rPr>
          <w:szCs w:val="24"/>
        </w:rPr>
        <w:t>+/- 1 [m</w:t>
      </w:r>
      <w:r>
        <w:rPr>
          <w:szCs w:val="24"/>
          <w:lang w:val="pl-PL"/>
        </w:rPr>
        <w:t>m</w:t>
      </w:r>
      <w:r>
        <w:rPr>
          <w:szCs w:val="24"/>
        </w:rPr>
        <w:t>]</w:t>
      </w:r>
      <w:r w:rsidR="00F508A6" w:rsidRPr="00786789">
        <w:rPr>
          <w:szCs w:val="24"/>
        </w:rPr>
        <w:t>.</w:t>
      </w:r>
    </w:p>
    <w:p w:rsidR="00090D9B" w:rsidRPr="00FE0498" w:rsidRDefault="00E128DB" w:rsidP="004325FC">
      <w:pPr>
        <w:pStyle w:val="Tekstpodstawowywcity"/>
        <w:widowControl/>
        <w:numPr>
          <w:ilvl w:val="0"/>
          <w:numId w:val="8"/>
        </w:numPr>
        <w:suppressAutoHyphens w:val="0"/>
        <w:spacing w:after="0"/>
        <w:ind w:hanging="295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Pojemność zbiornika                       - 75 </w:t>
      </w:r>
      <w:r>
        <w:rPr>
          <w:szCs w:val="24"/>
        </w:rPr>
        <w:t>+/- 1 [m</w:t>
      </w:r>
      <w:r>
        <w:rPr>
          <w:szCs w:val="24"/>
          <w:lang w:val="pl-PL"/>
        </w:rPr>
        <w:t>l</w:t>
      </w:r>
      <w:r>
        <w:rPr>
          <w:szCs w:val="24"/>
        </w:rPr>
        <w:t>]</w:t>
      </w:r>
      <w:r w:rsidRPr="00786789">
        <w:rPr>
          <w:szCs w:val="24"/>
        </w:rPr>
        <w:t>.</w:t>
      </w:r>
    </w:p>
    <w:p w:rsidR="00786789" w:rsidRDefault="00786789" w:rsidP="00090D9B">
      <w:pPr>
        <w:ind w:left="426"/>
      </w:pPr>
    </w:p>
    <w:p w:rsidR="00BF506F" w:rsidRPr="00BF506F" w:rsidRDefault="00786789" w:rsidP="00BF506F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lastRenderedPageBreak/>
        <w:t>Znakowanie i pakowanie</w:t>
      </w:r>
    </w:p>
    <w:p w:rsidR="00BF506F" w:rsidRPr="00BF506F" w:rsidRDefault="00BF506F" w:rsidP="00594F14">
      <w:pPr>
        <w:pStyle w:val="Tekstpodstawowywcity"/>
        <w:widowControl/>
        <w:numPr>
          <w:ilvl w:val="0"/>
          <w:numId w:val="10"/>
        </w:numPr>
        <w:suppressAutoHyphens w:val="0"/>
        <w:spacing w:after="0"/>
        <w:ind w:left="714" w:hanging="288"/>
        <w:jc w:val="both"/>
        <w:rPr>
          <w:szCs w:val="24"/>
        </w:rPr>
      </w:pPr>
      <w:r>
        <w:rPr>
          <w:szCs w:val="24"/>
          <w:lang w:val="pl-PL"/>
        </w:rPr>
        <w:t>Oznaczenie etykiety zgodnie z obowiązującymi przepisami.</w:t>
      </w:r>
    </w:p>
    <w:p w:rsidR="00BF506F" w:rsidRPr="00BF506F" w:rsidRDefault="00BF506F" w:rsidP="00594F14">
      <w:pPr>
        <w:pStyle w:val="Tekstpodstawowywcity"/>
        <w:widowControl/>
        <w:numPr>
          <w:ilvl w:val="0"/>
          <w:numId w:val="10"/>
        </w:numPr>
        <w:suppressAutoHyphens w:val="0"/>
        <w:spacing w:after="0"/>
        <w:ind w:left="714" w:hanging="288"/>
        <w:jc w:val="both"/>
        <w:rPr>
          <w:szCs w:val="24"/>
        </w:rPr>
      </w:pPr>
      <w:r>
        <w:rPr>
          <w:szCs w:val="24"/>
          <w:lang w:val="pl-PL"/>
        </w:rPr>
        <w:t>Dodatkowe wymagane przez Zamawiającego:</w:t>
      </w:r>
    </w:p>
    <w:p w:rsidR="00786789" w:rsidRPr="00786789" w:rsidRDefault="00786789" w:rsidP="00BF506F">
      <w:pPr>
        <w:pStyle w:val="Tekstpodstawowywcity"/>
        <w:widowControl/>
        <w:suppressAutoHyphens w:val="0"/>
        <w:spacing w:after="0"/>
        <w:ind w:left="714"/>
        <w:jc w:val="both"/>
        <w:rPr>
          <w:szCs w:val="24"/>
        </w:rPr>
      </w:pPr>
      <w:r w:rsidRPr="00786789">
        <w:rPr>
          <w:szCs w:val="24"/>
        </w:rPr>
        <w:t>Na zewnętrznej powierzchni</w:t>
      </w:r>
      <w:r w:rsidR="00BD177E">
        <w:rPr>
          <w:szCs w:val="24"/>
          <w:lang w:val="pl-PL"/>
        </w:rPr>
        <w:t xml:space="preserve"> </w:t>
      </w:r>
      <w:r w:rsidRPr="00786789">
        <w:rPr>
          <w:szCs w:val="24"/>
        </w:rPr>
        <w:t>każdego miotacza muszą być umieszczone w sposób trwały</w:t>
      </w:r>
      <w:r w:rsidR="00476ABF">
        <w:rPr>
          <w:szCs w:val="24"/>
          <w:lang w:val="pl-PL"/>
        </w:rPr>
        <w:t xml:space="preserve"> </w:t>
      </w:r>
      <w:r w:rsidRPr="00786789">
        <w:rPr>
          <w:szCs w:val="24"/>
        </w:rPr>
        <w:t>i czytelny (w języku polskim) następujące informacje: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786789">
        <w:rPr>
          <w:szCs w:val="24"/>
        </w:rPr>
        <w:t xml:space="preserve">napisy: </w:t>
      </w:r>
      <w:r w:rsidRPr="00786789">
        <w:rPr>
          <w:b/>
          <w:szCs w:val="24"/>
        </w:rPr>
        <w:t>„POLICJA”</w:t>
      </w:r>
      <w:r w:rsidRPr="00786789">
        <w:rPr>
          <w:szCs w:val="24"/>
        </w:rPr>
        <w:t xml:space="preserve"> oraz </w:t>
      </w:r>
      <w:r w:rsidRPr="00786789">
        <w:rPr>
          <w:b/>
          <w:szCs w:val="24"/>
        </w:rPr>
        <w:t>„NATURALNY ŚRODEK OBEZWŁADNIAJĄCY”</w:t>
      </w:r>
      <w:r w:rsidRPr="00786789">
        <w:rPr>
          <w:szCs w:val="24"/>
        </w:rPr>
        <w:t>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skład chemiczny z wyszczególnieniem rodzaju oraz zawartości procentowej zastosowanej substancji czynnej,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pojemność i masa brutto pełnego miotacza,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użycia,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przechowywania,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opis skutków działania na organizm człowieka,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udzielenia pierwszej pomocy</w:t>
      </w:r>
      <w:r w:rsidR="00BF506F">
        <w:rPr>
          <w:szCs w:val="24"/>
          <w:lang w:val="pl-PL"/>
        </w:rPr>
        <w:t xml:space="preserve"> przedlekarskiej</w:t>
      </w:r>
      <w:r w:rsidRPr="00594F14">
        <w:rPr>
          <w:szCs w:val="24"/>
        </w:rPr>
        <w:t>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informacje ostrzegawcze,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data napełnienia miotacza i nr partii produkcyjnej,</w:t>
      </w:r>
    </w:p>
    <w:p w:rsidR="00786789" w:rsidRPr="00AF7B1C" w:rsidRDefault="00786789" w:rsidP="004325FC">
      <w:pPr>
        <w:pStyle w:val="Tekstpodstawowywcity"/>
        <w:widowControl/>
        <w:numPr>
          <w:ilvl w:val="0"/>
          <w:numId w:val="9"/>
        </w:numPr>
        <w:suppressAutoHyphens w:val="0"/>
        <w:spacing w:after="0"/>
        <w:ind w:left="1135" w:hanging="284"/>
        <w:jc w:val="both"/>
        <w:rPr>
          <w:szCs w:val="24"/>
        </w:rPr>
      </w:pPr>
      <w:r w:rsidRPr="00594F14">
        <w:rPr>
          <w:szCs w:val="24"/>
        </w:rPr>
        <w:t>termin przydatności do użytku.</w:t>
      </w:r>
    </w:p>
    <w:p w:rsidR="00AF7B1C" w:rsidRPr="00AF7B1C" w:rsidRDefault="00AF7B1C" w:rsidP="00AF7B1C">
      <w:pPr>
        <w:pStyle w:val="Tekstpodstawowywcity"/>
        <w:widowControl/>
        <w:suppressAutoHyphens w:val="0"/>
        <w:spacing w:after="0"/>
        <w:ind w:left="1134"/>
        <w:jc w:val="both"/>
        <w:rPr>
          <w:szCs w:val="24"/>
        </w:rPr>
      </w:pPr>
    </w:p>
    <w:p w:rsidR="00AF7B1C" w:rsidRDefault="00AF7B1C" w:rsidP="00AF7B1C">
      <w:pPr>
        <w:pStyle w:val="Tekstpodstawowywcity"/>
        <w:widowControl/>
        <w:suppressAutoHyphens w:val="0"/>
        <w:spacing w:after="0"/>
        <w:ind w:left="1068" w:hanging="359"/>
        <w:jc w:val="both"/>
        <w:rPr>
          <w:b/>
          <w:szCs w:val="24"/>
          <w:lang w:val="pl-PL"/>
        </w:rPr>
      </w:pPr>
      <w:r w:rsidRPr="00E128DB">
        <w:rPr>
          <w:b/>
          <w:szCs w:val="24"/>
          <w:lang w:val="pl-PL"/>
        </w:rPr>
        <w:t>Uwaga:</w:t>
      </w:r>
    </w:p>
    <w:p w:rsidR="00AF7B1C" w:rsidRDefault="00AF7B1C" w:rsidP="004325FC">
      <w:pPr>
        <w:pStyle w:val="Tekstpodstawowywcity"/>
        <w:spacing w:after="0"/>
        <w:ind w:left="709"/>
        <w:jc w:val="both"/>
        <w:rPr>
          <w:szCs w:val="24"/>
          <w:lang w:val="pl-PL"/>
        </w:rPr>
      </w:pPr>
      <w:r w:rsidRPr="00786789">
        <w:rPr>
          <w:b/>
          <w:szCs w:val="24"/>
        </w:rPr>
        <w:t xml:space="preserve">Ostateczna treść i szata graficzna napisów zostaną uzgodnione przed </w:t>
      </w:r>
      <w:r>
        <w:rPr>
          <w:b/>
          <w:szCs w:val="24"/>
          <w:lang w:val="pl-PL"/>
        </w:rPr>
        <w:br/>
      </w:r>
      <w:r w:rsidRPr="00786789">
        <w:rPr>
          <w:b/>
          <w:szCs w:val="24"/>
        </w:rPr>
        <w:t>dostawą miotaczy dla Policji</w:t>
      </w:r>
      <w:r>
        <w:rPr>
          <w:b/>
          <w:szCs w:val="24"/>
          <w:lang w:val="pl-PL"/>
        </w:rPr>
        <w:t>.</w:t>
      </w:r>
    </w:p>
    <w:p w:rsidR="00AF7B1C" w:rsidRPr="004F2843" w:rsidRDefault="00AF7B1C" w:rsidP="00AF7B1C">
      <w:pPr>
        <w:pStyle w:val="Tekstpodstawowywcity"/>
        <w:widowControl/>
        <w:suppressAutoHyphens w:val="0"/>
        <w:spacing w:after="0"/>
        <w:jc w:val="both"/>
        <w:rPr>
          <w:szCs w:val="24"/>
        </w:rPr>
      </w:pPr>
    </w:p>
    <w:p w:rsidR="004F2843" w:rsidRPr="004F2843" w:rsidRDefault="004F2843" w:rsidP="00594F14">
      <w:pPr>
        <w:pStyle w:val="Tekstpodstawowywcity"/>
        <w:widowControl/>
        <w:numPr>
          <w:ilvl w:val="0"/>
          <w:numId w:val="10"/>
        </w:numPr>
        <w:suppressAutoHyphens w:val="0"/>
        <w:spacing w:after="0"/>
        <w:ind w:left="714" w:hanging="288"/>
        <w:jc w:val="both"/>
        <w:rPr>
          <w:szCs w:val="24"/>
        </w:rPr>
      </w:pPr>
      <w:r>
        <w:rPr>
          <w:szCs w:val="24"/>
          <w:lang w:val="pl-PL"/>
        </w:rPr>
        <w:t>Miotacze muszą być pakowane w opakowania zbiorcze zapewniające ich bezpieczny wygodny transport.</w:t>
      </w:r>
    </w:p>
    <w:p w:rsidR="00973ED3" w:rsidRPr="00786789" w:rsidRDefault="00973ED3" w:rsidP="00594F14">
      <w:pPr>
        <w:pStyle w:val="Tekstpodstawowywcity"/>
        <w:widowControl/>
        <w:numPr>
          <w:ilvl w:val="0"/>
          <w:numId w:val="10"/>
        </w:numPr>
        <w:suppressAutoHyphens w:val="0"/>
        <w:spacing w:after="0"/>
        <w:ind w:left="714" w:hanging="288"/>
        <w:jc w:val="both"/>
        <w:rPr>
          <w:szCs w:val="24"/>
        </w:rPr>
      </w:pPr>
      <w:r w:rsidRPr="00786789">
        <w:rPr>
          <w:szCs w:val="24"/>
        </w:rPr>
        <w:t xml:space="preserve">Na zewnętrznej powierzchni </w:t>
      </w:r>
      <w:r>
        <w:rPr>
          <w:szCs w:val="24"/>
          <w:lang w:val="pl-PL"/>
        </w:rPr>
        <w:t xml:space="preserve">opakowania zbiorczego </w:t>
      </w:r>
      <w:r w:rsidRPr="00786789">
        <w:rPr>
          <w:szCs w:val="24"/>
        </w:rPr>
        <w:t xml:space="preserve">muszą </w:t>
      </w:r>
      <w:r>
        <w:rPr>
          <w:szCs w:val="24"/>
        </w:rPr>
        <w:t>być umieszczone w sposób trwały</w:t>
      </w:r>
      <w:r>
        <w:rPr>
          <w:szCs w:val="24"/>
          <w:lang w:val="pl-PL"/>
        </w:rPr>
        <w:t xml:space="preserve"> </w:t>
      </w:r>
      <w:r w:rsidRPr="00786789">
        <w:rPr>
          <w:szCs w:val="24"/>
        </w:rPr>
        <w:t>i czytelny (w języku polskim) następujące informacje: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973ED3">
        <w:rPr>
          <w:szCs w:val="24"/>
        </w:rPr>
        <w:t xml:space="preserve">napisy: </w:t>
      </w:r>
      <w:r w:rsidRPr="00973ED3">
        <w:rPr>
          <w:b/>
          <w:szCs w:val="24"/>
        </w:rPr>
        <w:t>„POLICJA”</w:t>
      </w:r>
      <w:r w:rsidRPr="00973ED3">
        <w:rPr>
          <w:szCs w:val="24"/>
        </w:rPr>
        <w:t xml:space="preserve"> oraz </w:t>
      </w:r>
      <w:r w:rsidRPr="00973ED3">
        <w:rPr>
          <w:b/>
          <w:szCs w:val="24"/>
        </w:rPr>
        <w:t>„NATURALNY ŚRODEK OBEZWŁADNIAJĄCY”</w:t>
      </w:r>
      <w:r w:rsidRPr="00973ED3">
        <w:rPr>
          <w:szCs w:val="24"/>
        </w:rPr>
        <w:t>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skład chemiczny z wyszczególnieniem rodzaju oraz zawartości procentowej zastosowanej w miotaczu substancji czynnej,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ilość miotaczy znajdujących się w opakowaniu,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masa łączna brutto,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data pakowania,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termin przydatności do użytku,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przechowywania,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użycia miotacza,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opis skutków działania na organizm człowieka,</w:t>
      </w:r>
    </w:p>
    <w:p w:rsidR="00786789" w:rsidRPr="00594F14" w:rsidRDefault="00786789" w:rsidP="00594F14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4" w:hanging="283"/>
        <w:jc w:val="both"/>
        <w:rPr>
          <w:szCs w:val="24"/>
        </w:rPr>
      </w:pPr>
      <w:r w:rsidRPr="00594F14">
        <w:rPr>
          <w:szCs w:val="24"/>
        </w:rPr>
        <w:t>sposób udzielenia pierwszej pomocy</w:t>
      </w:r>
      <w:r w:rsidR="00BF506F">
        <w:rPr>
          <w:szCs w:val="24"/>
          <w:lang w:val="pl-PL"/>
        </w:rPr>
        <w:t xml:space="preserve"> przedlekarskiej</w:t>
      </w:r>
      <w:r w:rsidRPr="00594F14">
        <w:rPr>
          <w:szCs w:val="24"/>
        </w:rPr>
        <w:t>,</w:t>
      </w:r>
    </w:p>
    <w:p w:rsidR="00786789" w:rsidRPr="00E128DB" w:rsidRDefault="00786789" w:rsidP="004325FC">
      <w:pPr>
        <w:pStyle w:val="Tekstpodstawowywcity"/>
        <w:widowControl/>
        <w:numPr>
          <w:ilvl w:val="0"/>
          <w:numId w:val="11"/>
        </w:numPr>
        <w:suppressAutoHyphens w:val="0"/>
        <w:spacing w:after="0"/>
        <w:ind w:left="1135" w:hanging="284"/>
        <w:jc w:val="both"/>
        <w:rPr>
          <w:szCs w:val="24"/>
        </w:rPr>
      </w:pPr>
      <w:r w:rsidRPr="00594F14">
        <w:rPr>
          <w:szCs w:val="24"/>
        </w:rPr>
        <w:t xml:space="preserve">informacje ostrzegawcze. </w:t>
      </w:r>
    </w:p>
    <w:p w:rsidR="004F2843" w:rsidRPr="004F2843" w:rsidRDefault="004F2843" w:rsidP="004325FC">
      <w:pPr>
        <w:pStyle w:val="Tekstpodstawowywcity"/>
        <w:spacing w:after="0"/>
        <w:ind w:left="425"/>
        <w:rPr>
          <w:b/>
          <w:szCs w:val="24"/>
          <w:lang w:val="pl-PL"/>
        </w:rPr>
      </w:pPr>
    </w:p>
    <w:p w:rsidR="00786789" w:rsidRPr="00786789" w:rsidRDefault="00AF7B1C" w:rsidP="004F2843">
      <w:pPr>
        <w:numPr>
          <w:ilvl w:val="0"/>
          <w:numId w:val="2"/>
        </w:numPr>
        <w:ind w:left="426" w:hanging="426"/>
        <w:rPr>
          <w:b/>
          <w:szCs w:val="24"/>
        </w:rPr>
      </w:pPr>
      <w:r>
        <w:rPr>
          <w:b/>
          <w:szCs w:val="24"/>
        </w:rPr>
        <w:t>Wymagania gwarancyjne</w:t>
      </w:r>
    </w:p>
    <w:p w:rsidR="00BF506F" w:rsidRDefault="00BF506F" w:rsidP="004325FC">
      <w:pPr>
        <w:ind w:left="425"/>
        <w:jc w:val="both"/>
      </w:pPr>
      <w:r>
        <w:t xml:space="preserve">Gwarancja </w:t>
      </w:r>
      <w:r w:rsidR="00EB648E">
        <w:t>co najmniej</w:t>
      </w:r>
      <w:r>
        <w:t xml:space="preserve"> </w:t>
      </w:r>
      <w:r w:rsidR="00673E6B">
        <w:t>54 miesiące</w:t>
      </w:r>
      <w:r w:rsidR="00AF7B1C">
        <w:t xml:space="preserve"> od daty dostawy przedmiotu umowy do magazynu</w:t>
      </w:r>
      <w:r>
        <w:t xml:space="preserve"> Zamawiającego.</w:t>
      </w:r>
    </w:p>
    <w:p w:rsidR="002C37DE" w:rsidRDefault="002C37DE" w:rsidP="004325FC">
      <w:pPr>
        <w:ind w:left="425"/>
        <w:jc w:val="both"/>
      </w:pPr>
    </w:p>
    <w:p w:rsidR="00FE4DBF" w:rsidRPr="00786789" w:rsidRDefault="00BF506F" w:rsidP="00FE4DBF">
      <w:pPr>
        <w:numPr>
          <w:ilvl w:val="0"/>
          <w:numId w:val="2"/>
        </w:numPr>
        <w:ind w:left="426" w:hanging="426"/>
        <w:rPr>
          <w:b/>
          <w:szCs w:val="24"/>
        </w:rPr>
      </w:pPr>
      <w:r>
        <w:rPr>
          <w:b/>
          <w:szCs w:val="24"/>
        </w:rPr>
        <w:t>Wymagania dodatkowe</w:t>
      </w:r>
    </w:p>
    <w:p w:rsidR="00FE0498" w:rsidRDefault="00BF506F" w:rsidP="00FE0498">
      <w:pPr>
        <w:numPr>
          <w:ilvl w:val="0"/>
          <w:numId w:val="13"/>
        </w:numPr>
        <w:ind w:left="709" w:hanging="283"/>
        <w:jc w:val="both"/>
      </w:pPr>
      <w:r>
        <w:t>Aktualny atest higieniczny, wydany przez PZH</w:t>
      </w:r>
      <w:r w:rsidR="00D117FF">
        <w:t xml:space="preserve"> lub inną instytucję posiadającą akredytowane na terenie Polski lub Unii Europejskiej,</w:t>
      </w:r>
      <w:r>
        <w:t xml:space="preserve"> na mieszankę </w:t>
      </w:r>
      <w:r w:rsidR="00FE0498">
        <w:t xml:space="preserve">stosowaną w ręcznych                                                                                                                                              </w:t>
      </w:r>
      <w:r w:rsidR="008B3F83">
        <w:t xml:space="preserve">           miotaczach pieprzu. W</w:t>
      </w:r>
      <w:r w:rsidR="00FE0498">
        <w:t xml:space="preserve">ażność atestu musi być, co najmniej tak długa jak </w:t>
      </w:r>
      <w:r w:rsidR="00D117FF">
        <w:t>okres gwarancyjny wskazany w pkt.7</w:t>
      </w:r>
    </w:p>
    <w:p w:rsidR="00C54FDB" w:rsidRPr="002D5CD8" w:rsidRDefault="00FE0498" w:rsidP="002D5CD8">
      <w:pPr>
        <w:numPr>
          <w:ilvl w:val="0"/>
          <w:numId w:val="13"/>
        </w:numPr>
        <w:ind w:left="709" w:hanging="283"/>
        <w:jc w:val="both"/>
      </w:pPr>
      <w:r>
        <w:t xml:space="preserve">Zaświadczenie niezależnego podmiotu uprawniającego do kontroli jakości potwierdzające, </w:t>
      </w:r>
      <w:r w:rsidR="00063FED">
        <w:t xml:space="preserve">że </w:t>
      </w:r>
      <w:r>
        <w:t>miotacze pieprzu odpowiadają określonym normom lub specyfikacji technicznej</w:t>
      </w:r>
      <w:bookmarkEnd w:id="2"/>
      <w:bookmarkEnd w:id="3"/>
      <w:r w:rsidR="00476ABF">
        <w:t>.</w:t>
      </w:r>
    </w:p>
    <w:sectPr w:rsidR="00C54FDB" w:rsidRPr="002D5CD8" w:rsidSect="00B53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69" w:rsidRDefault="00AE6369" w:rsidP="004557A5">
      <w:r>
        <w:separator/>
      </w:r>
    </w:p>
  </w:endnote>
  <w:endnote w:type="continuationSeparator" w:id="0">
    <w:p w:rsidR="00AE6369" w:rsidRDefault="00AE6369" w:rsidP="0045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5" w:rsidRDefault="004557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 w:rsidP="00EB4AFD">
    <w:pPr>
      <w:pStyle w:val="Stopka"/>
      <w:tabs>
        <w:tab w:val="clear" w:pos="4536"/>
        <w:tab w:val="clear" w:pos="9072"/>
        <w:tab w:val="left" w:pos="675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69" w:rsidRDefault="00AE6369" w:rsidP="004557A5">
      <w:r>
        <w:separator/>
      </w:r>
    </w:p>
  </w:footnote>
  <w:footnote w:type="continuationSeparator" w:id="0">
    <w:p w:rsidR="00AE6369" w:rsidRDefault="00AE6369" w:rsidP="0045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  <w:shd w:val="clear" w:color="auto" w:fill="FFFF00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2">
    <w:nsid w:val="0000000D"/>
    <w:multiLevelType w:val="multilevel"/>
    <w:tmpl w:val="E71E0B9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kern w:val="1"/>
        <w:sz w:val="24"/>
        <w:szCs w:val="3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644" w:hanging="360"/>
      </w:pPr>
      <w:rPr>
        <w:rFonts w:ascii="Symbol" w:hAnsi="Symbol" w:cs="Symbol" w:hint="default"/>
        <w:szCs w:val="24"/>
      </w:rPr>
    </w:lvl>
  </w:abstractNum>
  <w:abstractNum w:abstractNumId="14">
    <w:nsid w:val="0000000F"/>
    <w:multiLevelType w:val="multilevel"/>
    <w:tmpl w:val="0000000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0"/>
    <w:multiLevelType w:val="singleLevel"/>
    <w:tmpl w:val="00000010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6">
    <w:nsid w:val="1BB357FA"/>
    <w:multiLevelType w:val="hybridMultilevel"/>
    <w:tmpl w:val="CC020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22BD6"/>
    <w:multiLevelType w:val="hybridMultilevel"/>
    <w:tmpl w:val="91F87B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0513B6"/>
    <w:multiLevelType w:val="hybridMultilevel"/>
    <w:tmpl w:val="7A30E8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26AA7"/>
    <w:multiLevelType w:val="hybridMultilevel"/>
    <w:tmpl w:val="2452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225"/>
    <w:multiLevelType w:val="hybridMultilevel"/>
    <w:tmpl w:val="16E6E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C348A"/>
    <w:multiLevelType w:val="hybridMultilevel"/>
    <w:tmpl w:val="ADC293B0"/>
    <w:lvl w:ilvl="0" w:tplc="04150011">
      <w:start w:val="1"/>
      <w:numFmt w:val="decimal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59C942D6"/>
    <w:multiLevelType w:val="hybridMultilevel"/>
    <w:tmpl w:val="02549CEE"/>
    <w:lvl w:ilvl="0" w:tplc="483C8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BB0975"/>
    <w:multiLevelType w:val="hybridMultilevel"/>
    <w:tmpl w:val="E7428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039C9"/>
    <w:multiLevelType w:val="hybridMultilevel"/>
    <w:tmpl w:val="8214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B41BE"/>
    <w:multiLevelType w:val="hybridMultilevel"/>
    <w:tmpl w:val="E084C066"/>
    <w:lvl w:ilvl="0" w:tplc="8A30DDA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E3049"/>
    <w:multiLevelType w:val="hybridMultilevel"/>
    <w:tmpl w:val="23B67E14"/>
    <w:lvl w:ilvl="0" w:tplc="B48CE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45E54"/>
    <w:multiLevelType w:val="hybridMultilevel"/>
    <w:tmpl w:val="257C5B5E"/>
    <w:lvl w:ilvl="0" w:tplc="FF3E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19"/>
  </w:num>
  <w:num w:numId="9">
    <w:abstractNumId w:val="17"/>
  </w:num>
  <w:num w:numId="10">
    <w:abstractNumId w:val="16"/>
  </w:num>
  <w:num w:numId="11">
    <w:abstractNumId w:val="26"/>
  </w:num>
  <w:num w:numId="12">
    <w:abstractNumId w:val="27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37"/>
    <w:rsid w:val="00005746"/>
    <w:rsid w:val="00021C79"/>
    <w:rsid w:val="0005271F"/>
    <w:rsid w:val="00063FED"/>
    <w:rsid w:val="000676BF"/>
    <w:rsid w:val="00085606"/>
    <w:rsid w:val="00090D9B"/>
    <w:rsid w:val="000A36AF"/>
    <w:rsid w:val="000D18BE"/>
    <w:rsid w:val="000D2E2E"/>
    <w:rsid w:val="00127984"/>
    <w:rsid w:val="00184FD0"/>
    <w:rsid w:val="00190C05"/>
    <w:rsid w:val="001A3DD7"/>
    <w:rsid w:val="001C3FA1"/>
    <w:rsid w:val="001F12F1"/>
    <w:rsid w:val="001F4AFD"/>
    <w:rsid w:val="0023022C"/>
    <w:rsid w:val="002312C3"/>
    <w:rsid w:val="00260A76"/>
    <w:rsid w:val="002737D9"/>
    <w:rsid w:val="002A1F78"/>
    <w:rsid w:val="002B7F8E"/>
    <w:rsid w:val="002C37DE"/>
    <w:rsid w:val="002C7AB7"/>
    <w:rsid w:val="002D5CD8"/>
    <w:rsid w:val="002E5CF6"/>
    <w:rsid w:val="002F6EEA"/>
    <w:rsid w:val="00304B01"/>
    <w:rsid w:val="003119C0"/>
    <w:rsid w:val="00362C68"/>
    <w:rsid w:val="00383C09"/>
    <w:rsid w:val="003859C7"/>
    <w:rsid w:val="0039225B"/>
    <w:rsid w:val="00397284"/>
    <w:rsid w:val="003B6277"/>
    <w:rsid w:val="003D0808"/>
    <w:rsid w:val="003E69A3"/>
    <w:rsid w:val="00407EB1"/>
    <w:rsid w:val="004325FC"/>
    <w:rsid w:val="00440A1F"/>
    <w:rsid w:val="00454FB4"/>
    <w:rsid w:val="004557A5"/>
    <w:rsid w:val="00463DDE"/>
    <w:rsid w:val="00476ABF"/>
    <w:rsid w:val="00486330"/>
    <w:rsid w:val="004D2797"/>
    <w:rsid w:val="004E5C3E"/>
    <w:rsid w:val="004E5F71"/>
    <w:rsid w:val="004E7202"/>
    <w:rsid w:val="004E7D91"/>
    <w:rsid w:val="004F0A73"/>
    <w:rsid w:val="004F2843"/>
    <w:rsid w:val="004F2FC8"/>
    <w:rsid w:val="00540C89"/>
    <w:rsid w:val="00543B03"/>
    <w:rsid w:val="005530EF"/>
    <w:rsid w:val="00571C44"/>
    <w:rsid w:val="00594F14"/>
    <w:rsid w:val="005D1137"/>
    <w:rsid w:val="005F05EC"/>
    <w:rsid w:val="00600EB4"/>
    <w:rsid w:val="00612169"/>
    <w:rsid w:val="00622AC5"/>
    <w:rsid w:val="006403CC"/>
    <w:rsid w:val="0064332D"/>
    <w:rsid w:val="00660B46"/>
    <w:rsid w:val="006714ED"/>
    <w:rsid w:val="00673E6B"/>
    <w:rsid w:val="006B15B7"/>
    <w:rsid w:val="006B59BD"/>
    <w:rsid w:val="006F7A50"/>
    <w:rsid w:val="00717CD6"/>
    <w:rsid w:val="007233B3"/>
    <w:rsid w:val="00736151"/>
    <w:rsid w:val="00740478"/>
    <w:rsid w:val="00741B54"/>
    <w:rsid w:val="00746B19"/>
    <w:rsid w:val="00746B9B"/>
    <w:rsid w:val="00773635"/>
    <w:rsid w:val="00786789"/>
    <w:rsid w:val="00792A6F"/>
    <w:rsid w:val="007A6276"/>
    <w:rsid w:val="007B060C"/>
    <w:rsid w:val="007D7F9E"/>
    <w:rsid w:val="00806960"/>
    <w:rsid w:val="008218BE"/>
    <w:rsid w:val="00846F2B"/>
    <w:rsid w:val="0086355A"/>
    <w:rsid w:val="00881E4A"/>
    <w:rsid w:val="008A395B"/>
    <w:rsid w:val="008B3F83"/>
    <w:rsid w:val="008F6CA1"/>
    <w:rsid w:val="009149D2"/>
    <w:rsid w:val="00956494"/>
    <w:rsid w:val="00973ED3"/>
    <w:rsid w:val="0098433A"/>
    <w:rsid w:val="009B02DE"/>
    <w:rsid w:val="009B6BC5"/>
    <w:rsid w:val="009C4E6F"/>
    <w:rsid w:val="009D4F73"/>
    <w:rsid w:val="009E0BB4"/>
    <w:rsid w:val="009E1C84"/>
    <w:rsid w:val="009E1E43"/>
    <w:rsid w:val="009F518E"/>
    <w:rsid w:val="009F6811"/>
    <w:rsid w:val="00A038C7"/>
    <w:rsid w:val="00A3279E"/>
    <w:rsid w:val="00A75FF3"/>
    <w:rsid w:val="00A836ED"/>
    <w:rsid w:val="00AA748C"/>
    <w:rsid w:val="00AB5175"/>
    <w:rsid w:val="00AD0848"/>
    <w:rsid w:val="00AE6369"/>
    <w:rsid w:val="00AE66DD"/>
    <w:rsid w:val="00AF7B1C"/>
    <w:rsid w:val="00B05E83"/>
    <w:rsid w:val="00B07490"/>
    <w:rsid w:val="00B53AFE"/>
    <w:rsid w:val="00B67B5D"/>
    <w:rsid w:val="00B714BC"/>
    <w:rsid w:val="00BC3A99"/>
    <w:rsid w:val="00BC61E8"/>
    <w:rsid w:val="00BD171E"/>
    <w:rsid w:val="00BD177E"/>
    <w:rsid w:val="00BF506F"/>
    <w:rsid w:val="00C03753"/>
    <w:rsid w:val="00C0783F"/>
    <w:rsid w:val="00C54FDB"/>
    <w:rsid w:val="00C757AC"/>
    <w:rsid w:val="00C81FC3"/>
    <w:rsid w:val="00CD558F"/>
    <w:rsid w:val="00CE672F"/>
    <w:rsid w:val="00D11572"/>
    <w:rsid w:val="00D117FF"/>
    <w:rsid w:val="00D21F24"/>
    <w:rsid w:val="00D7594D"/>
    <w:rsid w:val="00D84C2F"/>
    <w:rsid w:val="00DB0E57"/>
    <w:rsid w:val="00DD5E7F"/>
    <w:rsid w:val="00DE12AE"/>
    <w:rsid w:val="00E0061F"/>
    <w:rsid w:val="00E128DB"/>
    <w:rsid w:val="00E73CCE"/>
    <w:rsid w:val="00E929AD"/>
    <w:rsid w:val="00EB4AFD"/>
    <w:rsid w:val="00EB648E"/>
    <w:rsid w:val="00EC1AFB"/>
    <w:rsid w:val="00EE653A"/>
    <w:rsid w:val="00EF6A88"/>
    <w:rsid w:val="00F41712"/>
    <w:rsid w:val="00F42BFA"/>
    <w:rsid w:val="00F508A6"/>
    <w:rsid w:val="00F60E91"/>
    <w:rsid w:val="00F638CF"/>
    <w:rsid w:val="00F658A9"/>
    <w:rsid w:val="00F73961"/>
    <w:rsid w:val="00F840D1"/>
    <w:rsid w:val="00FC1333"/>
    <w:rsid w:val="00FD01CD"/>
    <w:rsid w:val="00FD2E95"/>
    <w:rsid w:val="00FE0498"/>
    <w:rsid w:val="00FE1BA6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suppressAutoHyphens w:val="0"/>
      <w:jc w:val="right"/>
      <w:outlineLvl w:val="0"/>
    </w:pPr>
    <w:rPr>
      <w:rFonts w:ascii="Bookman Old Style" w:hAnsi="Bookman Old Style" w:cs="Bookman Old Style"/>
      <w:b/>
      <w:sz w:val="20"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4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Cs w:val="24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Cs/>
      <w:kern w:val="1"/>
      <w:sz w:val="24"/>
      <w:szCs w:val="32"/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Cs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Times New Roman" w:hAnsi="Times New Roman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rPr>
      <w:rFonts w:ascii="Bookman Old Style" w:eastAsia="Times New Roman" w:hAnsi="Bookman Old Style" w:cs="Bookman Old Style"/>
      <w:b/>
      <w:lang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rPr>
      <w:rFonts w:ascii="Cambria" w:eastAsia="Times New Roman" w:hAnsi="Cambria" w:cs="Cambria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before="120"/>
      <w:jc w:val="both"/>
    </w:pPr>
    <w:rPr>
      <w:rFonts w:ascii="Arial" w:hAnsi="Arial" w:cs="Arial"/>
      <w:lang/>
    </w:rPr>
  </w:style>
  <w:style w:type="paragraph" w:styleId="Lista">
    <w:name w:val="List"/>
    <w:basedOn w:val="Tekstpodstawowy"/>
    <w:rPr>
      <w:rFonts w:cs="Mangal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uppressAutoHyphens w:val="0"/>
      <w:autoSpaceDE w:val="0"/>
      <w:spacing w:before="100" w:after="100" w:line="360" w:lineRule="atLeast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  <w:rPr>
      <w:lang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Podtytu">
    <w:name w:val="Subtitle"/>
    <w:basedOn w:val="Normalny"/>
    <w:next w:val="Normalny"/>
    <w:uiPriority w:val="11"/>
    <w:qFormat/>
    <w:pPr>
      <w:widowControl/>
      <w:suppressAutoHyphens w:val="0"/>
      <w:spacing w:after="60"/>
      <w:jc w:val="center"/>
    </w:pPr>
    <w:rPr>
      <w:rFonts w:ascii="Cambria" w:hAnsi="Cambria" w:cs="Cambria"/>
      <w:szCs w:val="24"/>
      <w:lang/>
    </w:rPr>
  </w:style>
  <w:style w:type="paragraph" w:styleId="Spistreci1">
    <w:name w:val="toc 1"/>
    <w:basedOn w:val="Normalny"/>
    <w:next w:val="Normalny"/>
    <w:uiPriority w:val="39"/>
    <w:pPr>
      <w:widowControl/>
      <w:tabs>
        <w:tab w:val="left" w:pos="440"/>
        <w:tab w:val="right" w:leader="dot" w:pos="9639"/>
      </w:tabs>
      <w:suppressAutoHyphens w:val="0"/>
      <w:spacing w:line="360" w:lineRule="auto"/>
      <w:jc w:val="both"/>
    </w:pPr>
    <w:rPr>
      <w:sz w:val="20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Index"/>
    <w:pPr>
      <w:tabs>
        <w:tab w:val="right" w:leader="dot" w:pos="9072"/>
      </w:tabs>
      <w:ind w:left="566"/>
    </w:pPr>
  </w:style>
  <w:style w:type="paragraph" w:styleId="Spistreci4">
    <w:name w:val="toc 4"/>
    <w:basedOn w:val="Index"/>
    <w:pPr>
      <w:tabs>
        <w:tab w:val="right" w:leader="dot" w:pos="8789"/>
      </w:tabs>
      <w:ind w:left="849"/>
    </w:pPr>
  </w:style>
  <w:style w:type="paragraph" w:styleId="Spistreci5">
    <w:name w:val="toc 5"/>
    <w:basedOn w:val="Index"/>
    <w:pPr>
      <w:tabs>
        <w:tab w:val="right" w:leader="dot" w:pos="8506"/>
      </w:tabs>
      <w:ind w:left="1132"/>
    </w:pPr>
  </w:style>
  <w:style w:type="paragraph" w:styleId="Spistreci6">
    <w:name w:val="toc 6"/>
    <w:basedOn w:val="Index"/>
    <w:pPr>
      <w:tabs>
        <w:tab w:val="right" w:leader="dot" w:pos="8223"/>
      </w:tabs>
      <w:ind w:left="1415"/>
    </w:pPr>
  </w:style>
  <w:style w:type="paragraph" w:styleId="Spistreci7">
    <w:name w:val="toc 7"/>
    <w:basedOn w:val="Index"/>
    <w:pPr>
      <w:tabs>
        <w:tab w:val="right" w:leader="dot" w:pos="7940"/>
      </w:tabs>
      <w:ind w:left="1698"/>
    </w:pPr>
  </w:style>
  <w:style w:type="paragraph" w:styleId="Spistreci8">
    <w:name w:val="toc 8"/>
    <w:basedOn w:val="Index"/>
    <w:pPr>
      <w:tabs>
        <w:tab w:val="right" w:leader="dot" w:pos="7657"/>
      </w:tabs>
      <w:ind w:left="1981"/>
    </w:pPr>
  </w:style>
  <w:style w:type="paragraph" w:styleId="Spistreci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Tekstpodstawow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1"/>
    <w:basedOn w:val="Tekstpodstawowywcity"/>
    <w:rsid w:val="009E1E43"/>
    <w:pPr>
      <w:widowControl/>
      <w:suppressAutoHyphens w:val="0"/>
      <w:spacing w:after="0"/>
      <w:ind w:left="0"/>
      <w:jc w:val="both"/>
    </w:pPr>
    <w:rPr>
      <w:rFonts w:ascii="Arial" w:hAnsi="Arial"/>
      <w:b/>
      <w:sz w:val="22"/>
      <w:u w:val="single"/>
      <w:lang w:val="pl-PL" w:eastAsia="pl-PL"/>
    </w:rPr>
  </w:style>
  <w:style w:type="paragraph" w:customStyle="1" w:styleId="2">
    <w:name w:val="2"/>
    <w:basedOn w:val="Tekstpodstawowywcity"/>
    <w:link w:val="2Znak"/>
    <w:rsid w:val="009E1E43"/>
    <w:pPr>
      <w:widowControl/>
      <w:suppressAutoHyphens w:val="0"/>
      <w:spacing w:after="0"/>
      <w:ind w:left="360"/>
      <w:jc w:val="both"/>
    </w:pPr>
    <w:rPr>
      <w:rFonts w:ascii="Arial" w:hAnsi="Arial"/>
      <w:sz w:val="22"/>
      <w:szCs w:val="24"/>
      <w:lang/>
    </w:rPr>
  </w:style>
  <w:style w:type="character" w:customStyle="1" w:styleId="2Znak">
    <w:name w:val="2 Znak"/>
    <w:link w:val="2"/>
    <w:rsid w:val="009E1E43"/>
    <w:rPr>
      <w:rFonts w:ascii="Arial" w:hAnsi="Arial"/>
      <w:sz w:val="22"/>
      <w:szCs w:val="24"/>
    </w:rPr>
  </w:style>
  <w:style w:type="paragraph" w:customStyle="1" w:styleId="a">
    <w:name w:val="a)"/>
    <w:basedOn w:val="Tekstpodstawowywcity"/>
    <w:rsid w:val="002A1F78"/>
    <w:pPr>
      <w:widowControl/>
      <w:suppressAutoHyphens w:val="0"/>
      <w:spacing w:after="0"/>
      <w:ind w:left="0"/>
      <w:jc w:val="both"/>
    </w:pPr>
    <w:rPr>
      <w:rFonts w:ascii="Arial" w:hAnsi="Arial"/>
      <w:sz w:val="2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</cp:lastModifiedBy>
  <cp:revision>2</cp:revision>
  <cp:lastPrinted>2019-02-27T07:14:00Z</cp:lastPrinted>
  <dcterms:created xsi:type="dcterms:W3CDTF">2024-08-26T11:09:00Z</dcterms:created>
  <dcterms:modified xsi:type="dcterms:W3CDTF">2024-08-26T11:09:00Z</dcterms:modified>
</cp:coreProperties>
</file>