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p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8301F6">
            <w:pPr>
              <w:spacing w:line="276" w:lineRule="auto"/>
              <w:rPr>
                <w:rFonts w:ascii="Arial" w:eastAsia="Times New Roman" w:hAnsi="Arial" w:cs="Arial"/>
                <w:b/>
                <w:szCs w:val="26"/>
                <w:lang w:eastAsia="pl-PL"/>
              </w:rPr>
            </w:pPr>
          </w:p>
        </w:tc>
      </w:tr>
    </w:tbl>
    <w:p w:rsidR="00077E1E" w:rsidRPr="00DB41BA" w:rsidRDefault="00077E1E" w:rsidP="008301F6">
      <w:pPr>
        <w:spacing w:line="276" w:lineRule="auto"/>
        <w:rPr>
          <w:rFonts w:ascii="Arial" w:eastAsia="Times New Roman" w:hAnsi="Arial" w:cs="Arial"/>
          <w:b/>
          <w:szCs w:val="26"/>
          <w:lang w:eastAsia="pl-PL"/>
        </w:rPr>
      </w:pPr>
    </w:p>
    <w:p w:rsidR="00093693" w:rsidRPr="00DB41BA" w:rsidRDefault="00093693"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sz w:val="24"/>
          <w:szCs w:val="24"/>
        </w:rPr>
      </w:pPr>
    </w:p>
    <w:p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8301F6">
      <w:pPr>
        <w:spacing w:line="276" w:lineRule="auto"/>
        <w:jc w:val="center"/>
        <w:rPr>
          <w:rFonts w:ascii="Arial" w:hAnsi="Arial" w:cs="Arial"/>
          <w:b/>
          <w:sz w:val="44"/>
          <w:szCs w:val="24"/>
        </w:rPr>
      </w:pPr>
    </w:p>
    <w:p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8301F6">
      <w:pPr>
        <w:spacing w:line="276" w:lineRule="auto"/>
        <w:jc w:val="center"/>
        <w:rPr>
          <w:rFonts w:ascii="Arial" w:hAnsi="Arial" w:cs="Arial"/>
          <w:sz w:val="24"/>
          <w:szCs w:val="24"/>
        </w:rPr>
      </w:pPr>
    </w:p>
    <w:p w:rsidR="00E427AF" w:rsidRPr="00DB41BA" w:rsidRDefault="00E427AF" w:rsidP="008301F6">
      <w:pPr>
        <w:spacing w:line="276" w:lineRule="auto"/>
        <w:rPr>
          <w:rFonts w:ascii="Arial" w:hAnsi="Arial" w:cs="Arial"/>
          <w:sz w:val="24"/>
          <w:szCs w:val="24"/>
        </w:rPr>
      </w:pPr>
    </w:p>
    <w:p w:rsidR="0001155A" w:rsidRDefault="00162DB1" w:rsidP="0001155A">
      <w:pPr>
        <w:tabs>
          <w:tab w:val="left" w:pos="3491"/>
        </w:tabs>
        <w:spacing w:line="276" w:lineRule="auto"/>
        <w:jc w:val="center"/>
        <w:rPr>
          <w:rFonts w:ascii="Arial" w:eastAsia="Times New Roman" w:hAnsi="Arial" w:cs="Arial"/>
          <w:szCs w:val="26"/>
          <w:lang w:eastAsia="pl-PL"/>
        </w:rPr>
      </w:pPr>
      <w:r w:rsidRPr="00162DB1">
        <w:rPr>
          <w:rFonts w:ascii="Arial" w:hAnsi="Arial" w:cs="Arial"/>
          <w:b/>
          <w:sz w:val="32"/>
          <w:szCs w:val="24"/>
        </w:rPr>
        <w:t>Zagospodarowanie terenu wokół stawu</w:t>
      </w:r>
    </w:p>
    <w:p w:rsidR="0001155A" w:rsidRDefault="0001155A" w:rsidP="0001155A">
      <w:pPr>
        <w:tabs>
          <w:tab w:val="left" w:pos="3491"/>
        </w:tabs>
        <w:spacing w:line="276" w:lineRule="auto"/>
        <w:jc w:val="center"/>
        <w:rPr>
          <w:rFonts w:ascii="Arial" w:eastAsia="Times New Roman" w:hAnsi="Arial" w:cs="Arial"/>
          <w:szCs w:val="26"/>
          <w:lang w:eastAsia="pl-PL"/>
        </w:rPr>
      </w:pPr>
    </w:p>
    <w:p w:rsidR="0001155A" w:rsidRPr="0001155A" w:rsidRDefault="0001155A" w:rsidP="0001155A">
      <w:pPr>
        <w:tabs>
          <w:tab w:val="left" w:pos="3491"/>
        </w:tabs>
        <w:spacing w:line="276" w:lineRule="auto"/>
        <w:jc w:val="center"/>
        <w:rPr>
          <w:rFonts w:ascii="Arial" w:eastAsia="Times New Roman" w:hAnsi="Arial" w:cs="Arial"/>
          <w:szCs w:val="26"/>
          <w:lang w:eastAsia="pl-PL"/>
        </w:rPr>
      </w:pPr>
      <w:r w:rsidRPr="0001155A">
        <w:rPr>
          <w:rFonts w:ascii="Arial" w:eastAsia="Times New Roman" w:hAnsi="Arial" w:cs="Arial"/>
          <w:szCs w:val="26"/>
          <w:lang w:eastAsia="pl-PL"/>
        </w:rPr>
        <w:t>Tytuł projektu:</w:t>
      </w:r>
      <w:r>
        <w:rPr>
          <w:rFonts w:ascii="Arial" w:eastAsia="Times New Roman" w:hAnsi="Arial" w:cs="Arial"/>
          <w:szCs w:val="26"/>
          <w:lang w:eastAsia="pl-PL"/>
        </w:rPr>
        <w:t xml:space="preserve"> </w:t>
      </w:r>
      <w:r w:rsidRPr="0001155A">
        <w:rPr>
          <w:rFonts w:ascii="Arial" w:eastAsia="Times New Roman" w:hAnsi="Arial" w:cs="Arial"/>
          <w:szCs w:val="26"/>
          <w:lang w:eastAsia="pl-PL"/>
        </w:rPr>
        <w:t>„Kompleksowa rewitalizacja szansą na wielokierunkowy rozwój Krasocina”</w:t>
      </w:r>
    </w:p>
    <w:p w:rsidR="00085F9C" w:rsidRPr="00DB41BA" w:rsidRDefault="00085F9C" w:rsidP="008301F6">
      <w:pPr>
        <w:spacing w:line="276" w:lineRule="auto"/>
        <w:jc w:val="center"/>
        <w:rPr>
          <w:rFonts w:ascii="Arial" w:eastAsia="Times New Roman" w:hAnsi="Arial" w:cs="Arial"/>
          <w:sz w:val="26"/>
          <w:szCs w:val="26"/>
          <w:lang w:eastAsia="pl-PL"/>
        </w:rPr>
      </w:pPr>
    </w:p>
    <w:p w:rsidR="00A171F2" w:rsidRPr="00DB41BA" w:rsidRDefault="00A171F2" w:rsidP="008301F6">
      <w:pPr>
        <w:spacing w:line="276" w:lineRule="auto"/>
        <w:jc w:val="center"/>
        <w:rPr>
          <w:rFonts w:ascii="Arial" w:eastAsia="Times New Roman" w:hAnsi="Arial" w:cs="Arial"/>
          <w:sz w:val="26"/>
          <w:szCs w:val="26"/>
          <w:lang w:eastAsia="pl-PL"/>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01155A" w:rsidRDefault="0001155A" w:rsidP="008301F6">
      <w:pPr>
        <w:spacing w:line="276" w:lineRule="auto"/>
        <w:rPr>
          <w:rFonts w:ascii="Arial" w:hAnsi="Arial" w:cs="Arial"/>
          <w:szCs w:val="24"/>
        </w:rPr>
      </w:pPr>
    </w:p>
    <w:p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rsidR="00A171F2" w:rsidRPr="00493A68" w:rsidRDefault="00A171F2" w:rsidP="008301F6">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E03067">
        <w:rPr>
          <w:rFonts w:ascii="Arial" w:eastAsia="Times New Roman" w:hAnsi="Arial" w:cs="Arial"/>
          <w:sz w:val="24"/>
          <w:szCs w:val="26"/>
          <w:lang w:eastAsia="pl-PL"/>
        </w:rPr>
        <w:t>2</w:t>
      </w:r>
      <w:r w:rsidR="004A5C8F">
        <w:rPr>
          <w:rFonts w:ascii="Arial" w:eastAsia="Times New Roman" w:hAnsi="Arial" w:cs="Arial"/>
          <w:sz w:val="24"/>
          <w:szCs w:val="26"/>
          <w:lang w:eastAsia="pl-PL"/>
        </w:rPr>
        <w:t>3</w:t>
      </w:r>
      <w:r w:rsidR="00953453">
        <w:rPr>
          <w:rFonts w:ascii="Arial" w:eastAsia="Times New Roman" w:hAnsi="Arial" w:cs="Arial"/>
          <w:sz w:val="24"/>
          <w:szCs w:val="26"/>
          <w:lang w:eastAsia="pl-PL"/>
        </w:rPr>
        <w:t>.</w:t>
      </w:r>
      <w:r w:rsidR="00DD7ADF">
        <w:rPr>
          <w:rFonts w:ascii="Arial" w:eastAsia="Times New Roman" w:hAnsi="Arial" w:cs="Arial"/>
          <w:sz w:val="24"/>
          <w:szCs w:val="26"/>
          <w:lang w:eastAsia="pl-PL"/>
        </w:rPr>
        <w:t>0</w:t>
      </w:r>
      <w:r w:rsidR="00953453">
        <w:rPr>
          <w:rFonts w:ascii="Arial" w:eastAsia="Times New Roman" w:hAnsi="Arial" w:cs="Arial"/>
          <w:sz w:val="24"/>
          <w:szCs w:val="26"/>
          <w:lang w:eastAsia="pl-PL"/>
        </w:rPr>
        <w:t>5</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4B0283">
        <w:rPr>
          <w:rFonts w:ascii="Arial" w:eastAsia="Times New Roman" w:hAnsi="Arial" w:cs="Arial"/>
          <w:sz w:val="24"/>
          <w:szCs w:val="26"/>
          <w:lang w:eastAsia="pl-PL"/>
        </w:rPr>
        <w:t>3</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8301F6">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8301F6">
      <w:pPr>
        <w:spacing w:line="276" w:lineRule="auto"/>
        <w:jc w:val="both"/>
        <w:rPr>
          <w:rFonts w:ascii="Arial" w:eastAsia="Times New Roman" w:hAnsi="Arial" w:cs="Arial"/>
          <w:sz w:val="18"/>
          <w:szCs w:val="26"/>
          <w:lang w:eastAsia="pl-PL"/>
        </w:rPr>
      </w:pPr>
    </w:p>
    <w:p w:rsidR="004A3812" w:rsidRPr="00DB41BA" w:rsidRDefault="004A3812"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425ACA" w:rsidRDefault="00425ACA"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162DB1" w:rsidRDefault="00162DB1" w:rsidP="008301F6">
      <w:pPr>
        <w:spacing w:line="276" w:lineRule="auto"/>
        <w:jc w:val="both"/>
        <w:rPr>
          <w:rFonts w:ascii="Arial" w:eastAsia="Times New Roman" w:hAnsi="Arial" w:cs="Arial"/>
          <w:sz w:val="18"/>
          <w:szCs w:val="26"/>
          <w:lang w:eastAsia="pl-PL"/>
        </w:rPr>
      </w:pPr>
    </w:p>
    <w:p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DD7ADF">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w:t>
      </w:r>
      <w:r w:rsidR="00DD7ADF">
        <w:rPr>
          <w:rFonts w:ascii="Arial" w:eastAsia="Times New Roman" w:hAnsi="Arial" w:cs="Arial"/>
          <w:sz w:val="18"/>
          <w:szCs w:val="26"/>
          <w:lang w:eastAsia="pl-PL"/>
        </w:rPr>
        <w:t>710</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8301F6">
      <w:pPr>
        <w:spacing w:line="276" w:lineRule="auto"/>
        <w:rPr>
          <w:rFonts w:ascii="Arial" w:eastAsia="Times New Roman" w:hAnsi="Arial" w:cs="Arial"/>
          <w:b/>
          <w:sz w:val="24"/>
          <w:szCs w:val="26"/>
          <w:lang w:eastAsia="pl-PL"/>
        </w:rPr>
      </w:pPr>
    </w:p>
    <w:p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poniedziałek 7:00-18:00</w:t>
      </w:r>
      <w:r w:rsidR="001D2CD5" w:rsidRPr="00DB41BA">
        <w:rPr>
          <w:rFonts w:ascii="Arial" w:eastAsia="Times New Roman" w:hAnsi="Arial" w:cs="Arial"/>
          <w:sz w:val="24"/>
          <w:szCs w:val="24"/>
          <w:lang w:eastAsia="pl-PL"/>
        </w:rPr>
        <w:t xml:space="preserve"> </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wtorek-czwartek 7:00-16:00</w:t>
      </w:r>
    </w:p>
    <w:p w:rsidR="001D2CD5" w:rsidRPr="00DB41BA" w:rsidRDefault="00E03067" w:rsidP="008301F6">
      <w:pPr>
        <w:spacing w:line="276" w:lineRule="auto"/>
        <w:ind w:left="709" w:hanging="1"/>
        <w:jc w:val="both"/>
        <w:rPr>
          <w:rFonts w:ascii="Arial" w:eastAsia="Times New Roman" w:hAnsi="Arial" w:cs="Arial"/>
          <w:sz w:val="24"/>
          <w:szCs w:val="24"/>
          <w:lang w:eastAsia="pl-PL"/>
        </w:rPr>
      </w:pPr>
      <w:r>
        <w:rPr>
          <w:rFonts w:ascii="Arial" w:eastAsia="Times New Roman" w:hAnsi="Arial" w:cs="Arial"/>
          <w:sz w:val="24"/>
          <w:szCs w:val="24"/>
          <w:lang w:eastAsia="pl-PL"/>
        </w:rPr>
        <w:t>piątek  7:00-14:00</w:t>
      </w:r>
    </w:p>
    <w:p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953453"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Grzegorz Dyksiński</w:t>
            </w:r>
          </w:p>
        </w:tc>
        <w:tc>
          <w:tcPr>
            <w:tcW w:w="2835" w:type="dxa"/>
          </w:tcPr>
          <w:p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953453">
              <w:rPr>
                <w:rFonts w:ascii="Arial" w:eastAsia="Times New Roman" w:hAnsi="Arial" w:cs="Arial"/>
                <w:sz w:val="24"/>
                <w:szCs w:val="24"/>
                <w:lang w:eastAsia="pl-PL"/>
              </w:rPr>
              <w:t>5</w:t>
            </w:r>
          </w:p>
        </w:tc>
        <w:tc>
          <w:tcPr>
            <w:tcW w:w="2835" w:type="dxa"/>
          </w:tcPr>
          <w:p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8301F6">
      <w:pPr>
        <w:spacing w:line="276" w:lineRule="auto"/>
        <w:ind w:firstLine="567"/>
        <w:jc w:val="both"/>
        <w:rPr>
          <w:rFonts w:ascii="Arial" w:eastAsia="Times New Roman" w:hAnsi="Arial" w:cs="Arial"/>
          <w:sz w:val="24"/>
          <w:szCs w:val="24"/>
          <w:lang w:eastAsia="pl-PL"/>
        </w:rPr>
      </w:pPr>
    </w:p>
    <w:p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1536CB"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5 382 000</w:t>
      </w:r>
      <w:r w:rsidRPr="00DB41BA">
        <w:rPr>
          <w:rFonts w:ascii="Arial" w:eastAsia="Times New Roman" w:hAnsi="Arial" w:cs="Arial"/>
          <w:sz w:val="24"/>
          <w:szCs w:val="24"/>
          <w:lang w:eastAsia="pl-PL"/>
        </w:rPr>
        <w:t xml:space="preserve"> euro. </w:t>
      </w:r>
    </w:p>
    <w:p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DD7ADF">
        <w:rPr>
          <w:rFonts w:ascii="Arial" w:eastAsia="Times New Roman" w:hAnsi="Arial" w:cs="Arial"/>
          <w:sz w:val="24"/>
          <w:szCs w:val="24"/>
          <w:lang w:eastAsia="pl-PL"/>
        </w:rPr>
        <w:t>2</w:t>
      </w:r>
      <w:r w:rsidRPr="00DB41BA">
        <w:rPr>
          <w:rFonts w:ascii="Arial" w:eastAsia="Times New Roman" w:hAnsi="Arial" w:cs="Arial"/>
          <w:sz w:val="24"/>
          <w:szCs w:val="24"/>
          <w:lang w:eastAsia="pl-PL"/>
        </w:rPr>
        <w:t>r., poz. 1</w:t>
      </w:r>
      <w:r w:rsidR="00DD7ADF">
        <w:rPr>
          <w:rFonts w:ascii="Arial" w:eastAsia="Times New Roman" w:hAnsi="Arial" w:cs="Arial"/>
          <w:sz w:val="24"/>
          <w:szCs w:val="24"/>
          <w:lang w:eastAsia="pl-PL"/>
        </w:rPr>
        <w:t>710</w:t>
      </w:r>
      <w:r w:rsidRPr="00DB41BA">
        <w:rPr>
          <w:rFonts w:ascii="Arial" w:eastAsia="Times New Roman" w:hAnsi="Arial" w:cs="Arial"/>
          <w:sz w:val="24"/>
          <w:szCs w:val="24"/>
          <w:lang w:eastAsia="pl-PL"/>
        </w:rPr>
        <w:t xml:space="preserve"> ze zm.)</w:t>
      </w:r>
    </w:p>
    <w:p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postępowania przy rozpoznawaniu odwołań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8301F6">
      <w:pPr>
        <w:spacing w:line="276" w:lineRule="auto"/>
        <w:rPr>
          <w:rFonts w:ascii="Arial" w:eastAsia="Times New Roman" w:hAnsi="Arial" w:cs="Arial"/>
          <w:szCs w:val="24"/>
          <w:lang w:eastAsia="pl-PL"/>
        </w:rPr>
      </w:pPr>
    </w:p>
    <w:p w:rsidR="00953453" w:rsidRPr="00953453" w:rsidRDefault="006C0B52" w:rsidP="000076FB">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Zadanie </w:t>
      </w:r>
      <w:r w:rsidR="00953453">
        <w:rPr>
          <w:rFonts w:ascii="Arial" w:eastAsia="Times New Roman" w:hAnsi="Arial" w:cs="Arial"/>
          <w:sz w:val="24"/>
          <w:szCs w:val="24"/>
          <w:lang w:eastAsia="pl-PL"/>
        </w:rPr>
        <w:t xml:space="preserve">współfinansowane </w:t>
      </w:r>
      <w:r w:rsidR="00953453" w:rsidRPr="00953453">
        <w:rPr>
          <w:rFonts w:ascii="Arial" w:eastAsia="Times New Roman" w:hAnsi="Arial" w:cs="Arial"/>
          <w:sz w:val="24"/>
          <w:szCs w:val="24"/>
          <w:lang w:eastAsia="pl-PL"/>
        </w:rPr>
        <w:t>w ramach Reg</w:t>
      </w:r>
      <w:r w:rsidR="00953453">
        <w:rPr>
          <w:rFonts w:ascii="Arial" w:eastAsia="Times New Roman" w:hAnsi="Arial" w:cs="Arial"/>
          <w:sz w:val="24"/>
          <w:szCs w:val="24"/>
          <w:lang w:eastAsia="pl-PL"/>
        </w:rPr>
        <w:t xml:space="preserve">ionalnego Programu Operacyjnego </w:t>
      </w:r>
      <w:r w:rsidR="00953453" w:rsidRPr="00953453">
        <w:rPr>
          <w:rFonts w:ascii="Arial" w:eastAsia="Times New Roman" w:hAnsi="Arial" w:cs="Arial"/>
          <w:sz w:val="24"/>
          <w:szCs w:val="24"/>
          <w:lang w:eastAsia="pl-PL"/>
        </w:rPr>
        <w:t>Województwa Świętokrzyskiego na lata 2014-2020</w:t>
      </w:r>
      <w:r w:rsidR="00953453">
        <w:rPr>
          <w:rFonts w:ascii="Arial" w:eastAsia="Times New Roman" w:hAnsi="Arial" w:cs="Arial"/>
          <w:sz w:val="24"/>
          <w:szCs w:val="24"/>
          <w:lang w:eastAsia="pl-PL"/>
        </w:rPr>
        <w:t xml:space="preserve"> Działanie 6.5 „R</w:t>
      </w:r>
      <w:r w:rsidR="00953453" w:rsidRPr="00953453">
        <w:rPr>
          <w:rFonts w:ascii="Arial" w:eastAsia="Times New Roman" w:hAnsi="Arial" w:cs="Arial"/>
          <w:sz w:val="24"/>
          <w:szCs w:val="24"/>
          <w:lang w:eastAsia="pl-PL"/>
        </w:rPr>
        <w:t>ewitalizacja obszarów miejskich i wiejskich”</w:t>
      </w:r>
      <w:r w:rsidR="00E03067">
        <w:rPr>
          <w:rFonts w:ascii="Arial" w:eastAsia="Times New Roman" w:hAnsi="Arial" w:cs="Arial"/>
          <w:sz w:val="24"/>
          <w:szCs w:val="24"/>
          <w:lang w:eastAsia="pl-PL"/>
        </w:rPr>
        <w:t xml:space="preserve">, </w:t>
      </w:r>
      <w:r w:rsidR="0001155A">
        <w:rPr>
          <w:rFonts w:ascii="Arial" w:eastAsia="Times New Roman" w:hAnsi="Arial" w:cs="Arial"/>
          <w:sz w:val="24"/>
          <w:szCs w:val="24"/>
          <w:lang w:eastAsia="pl-PL"/>
        </w:rPr>
        <w:t xml:space="preserve">tytuł projektu </w:t>
      </w:r>
      <w:r w:rsidR="000076FB" w:rsidRPr="000076FB">
        <w:rPr>
          <w:rFonts w:ascii="Arial" w:eastAsia="Times New Roman" w:hAnsi="Arial" w:cs="Arial"/>
          <w:sz w:val="24"/>
          <w:szCs w:val="24"/>
          <w:lang w:eastAsia="pl-PL"/>
        </w:rPr>
        <w:t>„Komp</w:t>
      </w:r>
      <w:r w:rsidR="00E03067">
        <w:rPr>
          <w:rFonts w:ascii="Arial" w:eastAsia="Times New Roman" w:hAnsi="Arial" w:cs="Arial"/>
          <w:sz w:val="24"/>
          <w:szCs w:val="24"/>
          <w:lang w:eastAsia="pl-PL"/>
        </w:rPr>
        <w:t xml:space="preserve">leksowa rewitalizacja szansą na </w:t>
      </w:r>
      <w:r w:rsidR="000076FB" w:rsidRPr="000076FB">
        <w:rPr>
          <w:rFonts w:ascii="Arial" w:eastAsia="Times New Roman" w:hAnsi="Arial" w:cs="Arial"/>
          <w:sz w:val="24"/>
          <w:szCs w:val="24"/>
          <w:lang w:eastAsia="pl-PL"/>
        </w:rPr>
        <w:t>wielokierunkowy rozwój Krasocina”</w:t>
      </w:r>
    </w:p>
    <w:p w:rsidR="006C0B52" w:rsidRPr="006C0B52" w:rsidRDefault="006C0B52" w:rsidP="008301F6">
      <w:pPr>
        <w:pStyle w:val="Akapitzlist"/>
        <w:numPr>
          <w:ilvl w:val="2"/>
          <w:numId w:val="10"/>
        </w:numPr>
        <w:tabs>
          <w:tab w:val="left" w:pos="709"/>
        </w:tabs>
        <w:spacing w:line="276" w:lineRule="auto"/>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Uwaga! Możliwość unieważnienia postępowania.</w:t>
      </w:r>
      <w:r>
        <w:rPr>
          <w:rFonts w:ascii="Arial" w:eastAsia="Times New Roman" w:hAnsi="Arial" w:cs="Arial"/>
          <w:sz w:val="24"/>
          <w:szCs w:val="24"/>
          <w:lang w:eastAsia="pl-PL"/>
        </w:rPr>
        <w:t xml:space="preserve"> Zgodnie z art. 310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t>
      </w:r>
      <w:r w:rsidRPr="006C0B52">
        <w:rPr>
          <w:rFonts w:ascii="Arial" w:eastAsia="Times New Roman" w:hAnsi="Arial" w:cs="Arial"/>
          <w:sz w:val="24"/>
          <w:szCs w:val="24"/>
          <w:lang w:eastAsia="pl-PL"/>
        </w:rPr>
        <w:t>Zamawiający może unieważnić postępowanie o udzielenie zamówienia, jeżeli środki publiczne, które Zamawiający zamierzał przeznaczyć na sfinansowanie całości lub części zamówienia, nie zostały mu przyznane.</w:t>
      </w:r>
    </w:p>
    <w:p w:rsidR="00FD591E" w:rsidRPr="0001155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rsidR="000832D2" w:rsidRPr="00AC3878" w:rsidRDefault="004F6659" w:rsidP="008301F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 xml:space="preserve">  </w:t>
      </w:r>
      <w:r w:rsidR="000832D2" w:rsidRPr="00AC3878">
        <w:rPr>
          <w:rFonts w:ascii="Arial" w:eastAsia="Times New Roman" w:hAnsi="Arial" w:cs="Arial"/>
          <w:sz w:val="24"/>
          <w:szCs w:val="24"/>
          <w:lang w:eastAsia="pl-PL"/>
        </w:rPr>
        <w:t>Informacja o przewidywanych zamówieniach, o których mowa</w:t>
      </w:r>
      <w:r w:rsidRPr="00AC3878">
        <w:rPr>
          <w:rFonts w:ascii="Arial" w:eastAsia="Times New Roman" w:hAnsi="Arial" w:cs="Arial"/>
          <w:sz w:val="24"/>
          <w:szCs w:val="24"/>
          <w:lang w:eastAsia="pl-PL"/>
        </w:rPr>
        <w:t xml:space="preserve"> w art. 214 ust. 1 pkt 7 i 8. </w:t>
      </w:r>
      <w:r w:rsidR="000832D2" w:rsidRPr="00AC3878">
        <w:rPr>
          <w:rFonts w:ascii="Arial" w:eastAsia="Times New Roman" w:hAnsi="Arial" w:cs="Arial"/>
          <w:sz w:val="24"/>
          <w:szCs w:val="24"/>
          <w:lang w:eastAsia="pl-PL"/>
        </w:rPr>
        <w:t>Zamawiający</w:t>
      </w:r>
      <w:r w:rsidR="00493A68" w:rsidRPr="00AC3878">
        <w:rPr>
          <w:rFonts w:ascii="Arial" w:eastAsia="Times New Roman" w:hAnsi="Arial" w:cs="Arial"/>
          <w:sz w:val="24"/>
          <w:szCs w:val="24"/>
          <w:lang w:eastAsia="pl-PL"/>
        </w:rPr>
        <w:t xml:space="preserve"> </w:t>
      </w:r>
      <w:r w:rsidR="00E03067" w:rsidRPr="00AC3878">
        <w:rPr>
          <w:rFonts w:ascii="Arial" w:eastAsia="Times New Roman" w:hAnsi="Arial" w:cs="Arial"/>
          <w:sz w:val="24"/>
          <w:szCs w:val="24"/>
          <w:lang w:eastAsia="pl-PL"/>
        </w:rPr>
        <w:t>nie przewiduje</w:t>
      </w:r>
      <w:r w:rsidR="000832D2" w:rsidRPr="00AC3878">
        <w:rPr>
          <w:rFonts w:ascii="Arial" w:eastAsia="Times New Roman" w:hAnsi="Arial" w:cs="Arial"/>
          <w:sz w:val="24"/>
          <w:szCs w:val="24"/>
          <w:lang w:eastAsia="pl-PL"/>
        </w:rPr>
        <w:t xml:space="preserve"> możliwoś</w:t>
      </w:r>
      <w:r w:rsidR="00E03067" w:rsidRPr="00AC3878">
        <w:rPr>
          <w:rFonts w:ascii="Arial" w:eastAsia="Times New Roman" w:hAnsi="Arial" w:cs="Arial"/>
          <w:sz w:val="24"/>
          <w:szCs w:val="24"/>
          <w:lang w:eastAsia="pl-PL"/>
        </w:rPr>
        <w:t>ci</w:t>
      </w:r>
      <w:r w:rsidR="000832D2" w:rsidRPr="00AC3878">
        <w:rPr>
          <w:rFonts w:ascii="Arial" w:eastAsia="Times New Roman" w:hAnsi="Arial" w:cs="Arial"/>
          <w:sz w:val="24"/>
          <w:szCs w:val="24"/>
          <w:lang w:eastAsia="pl-PL"/>
        </w:rPr>
        <w:t xml:space="preserve"> udzielenia zamówień, o których mowa w art. 214 ust. 1</w:t>
      </w:r>
      <w:r w:rsidRPr="00AC3878">
        <w:rPr>
          <w:rFonts w:ascii="Arial" w:eastAsia="Times New Roman" w:hAnsi="Arial" w:cs="Arial"/>
          <w:sz w:val="24"/>
          <w:szCs w:val="24"/>
          <w:lang w:eastAsia="pl-PL"/>
        </w:rPr>
        <w:t xml:space="preserve"> pkt 7 ustawy </w:t>
      </w:r>
      <w:proofErr w:type="spellStart"/>
      <w:r w:rsidRPr="00AC3878">
        <w:rPr>
          <w:rFonts w:ascii="Arial" w:eastAsia="Times New Roman" w:hAnsi="Arial" w:cs="Arial"/>
          <w:sz w:val="24"/>
          <w:szCs w:val="24"/>
          <w:lang w:eastAsia="pl-PL"/>
        </w:rPr>
        <w:t>Pzp</w:t>
      </w:r>
      <w:proofErr w:type="spellEnd"/>
      <w:r w:rsidRPr="00AC3878">
        <w:rPr>
          <w:rFonts w:ascii="Arial" w:eastAsia="Times New Roman" w:hAnsi="Arial" w:cs="Arial"/>
          <w:sz w:val="24"/>
          <w:szCs w:val="24"/>
          <w:lang w:eastAsia="pl-PL"/>
        </w:rPr>
        <w:t xml:space="preserve"> polegających </w:t>
      </w:r>
      <w:r w:rsidR="000832D2" w:rsidRPr="00AC3878">
        <w:rPr>
          <w:rFonts w:ascii="Arial" w:eastAsia="Times New Roman" w:hAnsi="Arial" w:cs="Arial"/>
          <w:sz w:val="24"/>
          <w:szCs w:val="24"/>
          <w:lang w:eastAsia="pl-PL"/>
        </w:rPr>
        <w:t>na powtórzeniu podobnych robót budowlanych</w:t>
      </w:r>
      <w:r w:rsidR="00493A68" w:rsidRPr="00AC3878">
        <w:rPr>
          <w:rFonts w:ascii="Arial" w:eastAsia="Times New Roman" w:hAnsi="Arial" w:cs="Arial"/>
          <w:sz w:val="24"/>
          <w:szCs w:val="24"/>
          <w:lang w:eastAsia="pl-PL"/>
        </w:rPr>
        <w:t>.</w:t>
      </w:r>
    </w:p>
    <w:p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Zamawiający na podstawie art. 95 ust. 1 ustawy </w:t>
      </w:r>
      <w:proofErr w:type="spellStart"/>
      <w:r w:rsidRPr="006C0B52">
        <w:rPr>
          <w:rFonts w:ascii="Arial" w:eastAsia="Times New Roman" w:hAnsi="Arial" w:cs="Arial"/>
          <w:sz w:val="24"/>
          <w:szCs w:val="24"/>
          <w:lang w:eastAsia="pl-PL"/>
        </w:rPr>
        <w:t>Pzp</w:t>
      </w:r>
      <w:proofErr w:type="spellEnd"/>
      <w:r w:rsidRPr="006C0B5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rsidR="006C0B52" w:rsidRPr="006C0B52"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rsidR="006C0B52" w:rsidRPr="006C0B52" w:rsidRDefault="006C0B52" w:rsidP="008301F6">
      <w:pPr>
        <w:tabs>
          <w:tab w:val="left" w:pos="567"/>
        </w:tabs>
        <w:spacing w:line="276"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lastRenderedPageBreak/>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493A68" w:rsidRDefault="006C0B52" w:rsidP="008301F6">
      <w:pPr>
        <w:tabs>
          <w:tab w:val="left" w:pos="567"/>
        </w:tabs>
        <w:spacing w:line="276"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Pozostałe warunki zostały określone we wzorze umowy.</w:t>
      </w:r>
    </w:p>
    <w:p w:rsidR="008301F6" w:rsidRPr="00805B72" w:rsidRDefault="008301F6" w:rsidP="008301F6">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8301F6">
      <w:pPr>
        <w:pStyle w:val="Akapitzlist"/>
        <w:tabs>
          <w:tab w:val="left" w:pos="0"/>
          <w:tab w:val="left" w:pos="567"/>
        </w:tabs>
        <w:spacing w:line="276" w:lineRule="auto"/>
        <w:ind w:left="0"/>
        <w:jc w:val="both"/>
        <w:rPr>
          <w:rFonts w:ascii="Arial" w:hAnsi="Arial" w:cs="Arial"/>
          <w:b/>
        </w:rPr>
      </w:pPr>
    </w:p>
    <w:p w:rsidR="000076FB" w:rsidRPr="00E03067" w:rsidRDefault="00587B20" w:rsidP="000076FB">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03067">
        <w:rPr>
          <w:rFonts w:ascii="Arial" w:hAnsi="Arial" w:cs="Arial"/>
          <w:sz w:val="24"/>
          <w:szCs w:val="24"/>
        </w:rPr>
        <w:t xml:space="preserve">Przedmiotem </w:t>
      </w:r>
      <w:r w:rsidR="005C0723" w:rsidRPr="00E03067">
        <w:rPr>
          <w:rFonts w:ascii="Arial" w:hAnsi="Arial" w:cs="Arial"/>
          <w:sz w:val="24"/>
          <w:szCs w:val="24"/>
        </w:rPr>
        <w:t xml:space="preserve">zamówienia </w:t>
      </w:r>
      <w:r w:rsidR="000076FB" w:rsidRPr="00E03067">
        <w:rPr>
          <w:rFonts w:ascii="Arial" w:hAnsi="Arial" w:cs="Arial"/>
          <w:sz w:val="24"/>
          <w:szCs w:val="24"/>
        </w:rPr>
        <w:t xml:space="preserve">obejmuje zagospodarowanie terenu wokół stawu w </w:t>
      </w:r>
      <w:proofErr w:type="spellStart"/>
      <w:r w:rsidR="000076FB" w:rsidRPr="00E03067">
        <w:rPr>
          <w:rFonts w:ascii="Arial" w:hAnsi="Arial" w:cs="Arial"/>
          <w:sz w:val="24"/>
          <w:szCs w:val="24"/>
        </w:rPr>
        <w:t>msc</w:t>
      </w:r>
      <w:proofErr w:type="spellEnd"/>
      <w:r w:rsidR="000076FB" w:rsidRPr="00E03067">
        <w:rPr>
          <w:rFonts w:ascii="Arial" w:hAnsi="Arial" w:cs="Arial"/>
          <w:sz w:val="24"/>
          <w:szCs w:val="24"/>
        </w:rPr>
        <w:t>. Krasocin w zakresie rozbiórek, budowy sceny zadaszonej, wykonaniem ciągów pieszych, oświetleniem terenu, budową pomostów</w:t>
      </w:r>
      <w:r w:rsidR="00E03067">
        <w:rPr>
          <w:rFonts w:ascii="Arial" w:hAnsi="Arial" w:cs="Arial"/>
          <w:sz w:val="24"/>
          <w:szCs w:val="24"/>
        </w:rPr>
        <w:t>.</w:t>
      </w:r>
    </w:p>
    <w:p w:rsidR="009047EF" w:rsidRPr="00AC3878" w:rsidRDefault="009047EF" w:rsidP="000076FB">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AC3878">
        <w:rPr>
          <w:rFonts w:ascii="Arial" w:hAnsi="Arial" w:cs="Arial"/>
          <w:sz w:val="24"/>
          <w:szCs w:val="24"/>
        </w:rPr>
        <w:t xml:space="preserve">Szczegółowy zakres zamówienia oraz warunki realizacji zostały określone w załącznikach do SWZ. Szczegółowy opis przedmiotu zamówienia określają załączone do niniejszej SWZ dokumentacja budowlana - zgodnie z załącznikiem nr </w:t>
      </w:r>
      <w:r w:rsidR="00E03067" w:rsidRPr="00AC3878">
        <w:rPr>
          <w:rFonts w:ascii="Arial" w:hAnsi="Arial" w:cs="Arial"/>
          <w:sz w:val="24"/>
          <w:szCs w:val="24"/>
        </w:rPr>
        <w:t>4</w:t>
      </w:r>
      <w:r w:rsidRPr="00AC3878">
        <w:rPr>
          <w:rFonts w:ascii="Arial" w:hAnsi="Arial" w:cs="Arial"/>
          <w:sz w:val="24"/>
          <w:szCs w:val="24"/>
        </w:rPr>
        <w:t xml:space="preserve"> do SWZ. Wykonawca jest zobowiązany zrealizować zamówienie na zasadach i warunkach opisanych we wzorze umowy stanowiącym załącznik nr </w:t>
      </w:r>
      <w:r w:rsidR="00E03067" w:rsidRPr="00AC3878">
        <w:rPr>
          <w:rFonts w:ascii="Arial" w:hAnsi="Arial" w:cs="Arial"/>
          <w:sz w:val="24"/>
          <w:szCs w:val="24"/>
        </w:rPr>
        <w:t>3</w:t>
      </w:r>
      <w:r w:rsidR="00AC3878" w:rsidRPr="00AC3878">
        <w:rPr>
          <w:rFonts w:ascii="Arial" w:hAnsi="Arial" w:cs="Arial"/>
          <w:sz w:val="24"/>
          <w:szCs w:val="24"/>
        </w:rPr>
        <w:t xml:space="preserve"> </w:t>
      </w:r>
      <w:r w:rsidRPr="00AC3878">
        <w:rPr>
          <w:rFonts w:ascii="Arial" w:hAnsi="Arial" w:cs="Arial"/>
          <w:sz w:val="24"/>
          <w:szCs w:val="24"/>
        </w:rPr>
        <w:t>do SWZ.</w:t>
      </w:r>
    </w:p>
    <w:p w:rsidR="009047EF" w:rsidRPr="00AC3878" w:rsidRDefault="009047EF" w:rsidP="009047EF">
      <w:pPr>
        <w:pStyle w:val="Akapitzlist"/>
        <w:tabs>
          <w:tab w:val="left" w:pos="0"/>
          <w:tab w:val="left" w:pos="709"/>
        </w:tabs>
        <w:spacing w:line="276" w:lineRule="auto"/>
        <w:ind w:left="709"/>
        <w:jc w:val="both"/>
        <w:rPr>
          <w:rFonts w:ascii="Arial" w:hAnsi="Arial" w:cs="Arial"/>
          <w:b/>
          <w:sz w:val="24"/>
          <w:szCs w:val="24"/>
        </w:rPr>
      </w:pPr>
      <w:r w:rsidRPr="00AC3878">
        <w:rPr>
          <w:rFonts w:ascii="Arial" w:hAnsi="Arial" w:cs="Arial"/>
          <w:b/>
          <w:sz w:val="24"/>
          <w:szCs w:val="24"/>
        </w:rPr>
        <w:t>Uwaga: Przedmiary robót stanowią pomoc w skalkulowaniu ceny ryczałtowej, lecz nie tworzą zamkniętego zakresu robót objętego zamówieniem.</w:t>
      </w:r>
    </w:p>
    <w:p w:rsidR="00583943" w:rsidRPr="00DB41BA"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Dokumentacja </w:t>
      </w:r>
      <w:r>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Pr>
          <w:rFonts w:ascii="Arial" w:hAnsi="Arial" w:cs="Arial"/>
          <w:sz w:val="24"/>
          <w:szCs w:val="24"/>
        </w:rPr>
        <w:br/>
      </w:r>
      <w:r w:rsidRPr="00DB41BA">
        <w:rPr>
          <w:rFonts w:ascii="Arial" w:hAnsi="Arial" w:cs="Arial"/>
          <w:sz w:val="24"/>
          <w:szCs w:val="24"/>
        </w:rPr>
        <w:t xml:space="preserve">w dokumentacji towarzyszy wyraz „lub równoważne".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lastRenderedPageBreak/>
        <w:t xml:space="preserve">Wykonawca, który zastosował produkt równoważny, ma obowiązek wskazać w swojej ofercie, jakie materiały lub urządzenia zostały zamienione, i określić, jakie materiały </w:t>
      </w:r>
      <w:r>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83943" w:rsidRPr="00DB41BA" w:rsidRDefault="00583943" w:rsidP="008301F6">
      <w:pPr>
        <w:pStyle w:val="Akapitzlist"/>
        <w:numPr>
          <w:ilvl w:val="2"/>
          <w:numId w:val="12"/>
        </w:numPr>
        <w:tabs>
          <w:tab w:val="left" w:pos="0"/>
          <w:tab w:val="left" w:pos="709"/>
        </w:tabs>
        <w:spacing w:line="276"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583943" w:rsidRPr="00E03067"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E03067">
        <w:rPr>
          <w:rFonts w:ascii="Arial" w:hAnsi="Arial" w:cs="Arial"/>
          <w:sz w:val="24"/>
          <w:szCs w:val="24"/>
        </w:rPr>
        <w:t xml:space="preserve">Kod i nazwa zamówienia według Wspólnego Słownika Zamówień (CPV): </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45111300-1 Roboty rozbiórkowe</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45233140-2 Roboty drogowe</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45112710-5 Roboty w zakresie kształtowania terenów zielonych</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45111291-4 Roboty w zakresie zagospodarowania terenu</w:t>
      </w:r>
    </w:p>
    <w:p w:rsidR="000076FB"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45231400-9 Roboty budowlane w zakresie budowy linii energetycznych</w:t>
      </w:r>
    </w:p>
    <w:p w:rsidR="00583943" w:rsidRPr="00E03067" w:rsidRDefault="000076FB" w:rsidP="000076FB">
      <w:pPr>
        <w:pStyle w:val="Akapitzlist"/>
        <w:tabs>
          <w:tab w:val="left" w:pos="0"/>
          <w:tab w:val="left" w:pos="709"/>
        </w:tabs>
        <w:spacing w:line="276" w:lineRule="auto"/>
        <w:ind w:left="709"/>
        <w:jc w:val="both"/>
        <w:rPr>
          <w:rFonts w:ascii="Arial" w:hAnsi="Arial" w:cs="Arial"/>
          <w:sz w:val="24"/>
          <w:szCs w:val="24"/>
        </w:rPr>
      </w:pPr>
      <w:r w:rsidRPr="00E03067">
        <w:rPr>
          <w:rFonts w:ascii="Arial" w:hAnsi="Arial" w:cs="Arial"/>
          <w:sz w:val="24"/>
          <w:szCs w:val="24"/>
        </w:rPr>
        <w:t>31527</w:t>
      </w:r>
      <w:r w:rsidR="00470167">
        <w:rPr>
          <w:rFonts w:ascii="Arial" w:hAnsi="Arial" w:cs="Arial"/>
          <w:sz w:val="24"/>
          <w:szCs w:val="24"/>
        </w:rPr>
        <w:t>2</w:t>
      </w:r>
      <w:r w:rsidRPr="00E03067">
        <w:rPr>
          <w:rFonts w:ascii="Arial" w:hAnsi="Arial" w:cs="Arial"/>
          <w:sz w:val="24"/>
          <w:szCs w:val="24"/>
        </w:rPr>
        <w:t>00-8 Oświetlenie zewnętrzne</w:t>
      </w:r>
    </w:p>
    <w:p w:rsidR="00583943" w:rsidRPr="00DC122D" w:rsidRDefault="00583943" w:rsidP="008301F6">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583943" w:rsidRDefault="00583943" w:rsidP="008301F6">
      <w:pPr>
        <w:pStyle w:val="Akapitzlist"/>
        <w:numPr>
          <w:ilvl w:val="0"/>
          <w:numId w:val="56"/>
        </w:numPr>
        <w:tabs>
          <w:tab w:val="left" w:pos="0"/>
          <w:tab w:val="left" w:pos="709"/>
        </w:tabs>
        <w:spacing w:line="276" w:lineRule="auto"/>
        <w:jc w:val="both"/>
        <w:rPr>
          <w:rFonts w:ascii="Arial" w:hAnsi="Arial" w:cs="Arial"/>
          <w:sz w:val="24"/>
          <w:szCs w:val="24"/>
        </w:rPr>
      </w:pPr>
      <w:r>
        <w:rPr>
          <w:rFonts w:ascii="Arial" w:hAnsi="Arial" w:cs="Arial"/>
          <w:sz w:val="24"/>
          <w:szCs w:val="24"/>
        </w:rPr>
        <w:t>Przedm</w:t>
      </w:r>
      <w:r w:rsidR="009047EF">
        <w:rPr>
          <w:rFonts w:ascii="Arial" w:hAnsi="Arial" w:cs="Arial"/>
          <w:sz w:val="24"/>
          <w:szCs w:val="24"/>
        </w:rPr>
        <w:t>iot zamówienia dotyczy jednego zadania.</w:t>
      </w:r>
    </w:p>
    <w:p w:rsidR="00583943" w:rsidRDefault="00583943" w:rsidP="008301F6">
      <w:pPr>
        <w:pStyle w:val="Akapitzlist"/>
        <w:numPr>
          <w:ilvl w:val="0"/>
          <w:numId w:val="56"/>
        </w:numPr>
        <w:tabs>
          <w:tab w:val="left" w:pos="0"/>
          <w:tab w:val="left" w:pos="709"/>
        </w:tabs>
        <w:spacing w:line="276" w:lineRule="auto"/>
        <w:jc w:val="both"/>
        <w:rPr>
          <w:rFonts w:ascii="Arial" w:hAnsi="Arial" w:cs="Arial"/>
          <w:sz w:val="24"/>
          <w:szCs w:val="24"/>
        </w:rPr>
      </w:pPr>
      <w:r w:rsidRPr="005A68E0">
        <w:rPr>
          <w:rFonts w:ascii="Arial" w:hAnsi="Arial" w:cs="Arial"/>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583943" w:rsidRPr="005A68E0" w:rsidRDefault="00A43DEB" w:rsidP="008301F6">
      <w:pPr>
        <w:pStyle w:val="Akapitzlist"/>
        <w:numPr>
          <w:ilvl w:val="0"/>
          <w:numId w:val="56"/>
        </w:numPr>
        <w:tabs>
          <w:tab w:val="left" w:pos="0"/>
          <w:tab w:val="left" w:pos="709"/>
        </w:tabs>
        <w:spacing w:line="276" w:lineRule="auto"/>
        <w:jc w:val="both"/>
        <w:rPr>
          <w:rFonts w:ascii="Arial" w:hAnsi="Arial" w:cs="Arial"/>
          <w:sz w:val="24"/>
          <w:szCs w:val="24"/>
        </w:rPr>
      </w:pPr>
      <w:r>
        <w:rPr>
          <w:rFonts w:ascii="Arial" w:hAnsi="Arial" w:cs="Arial"/>
          <w:sz w:val="24"/>
          <w:szCs w:val="24"/>
        </w:rPr>
        <w:t>K</w:t>
      </w:r>
      <w:r w:rsidR="00583943" w:rsidRPr="005A68E0">
        <w:rPr>
          <w:rFonts w:ascii="Arial" w:hAnsi="Arial" w:cs="Arial"/>
          <w:sz w:val="24"/>
          <w:szCs w:val="24"/>
        </w:rPr>
        <w:t>ażdy z Wykonawców w cenę oferty wliczyłby odrębne koszty ubezpieczenia placu budowy, mienia i robót budowlanych co zwiększyłoby poziom wydatków Zamawiającego.</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t>
      </w:r>
      <w:r w:rsidRPr="006574BE">
        <w:rPr>
          <w:rFonts w:ascii="Arial" w:hAnsi="Arial" w:cs="Arial"/>
          <w:sz w:val="24"/>
          <w:szCs w:val="24"/>
        </w:rPr>
        <w:lastRenderedPageBreak/>
        <w:t xml:space="preserve">względami technicznymi, organizacyjnymi oraz charakterem przedmiotu zamówienia. Zastosowany ewentualnie podział zamówienia na części nie zwiększyłby konkurencyjności </w:t>
      </w:r>
    </w:p>
    <w:p w:rsidR="00583943"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rsidR="00583943" w:rsidRPr="006574BE" w:rsidRDefault="00583943" w:rsidP="008301F6">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301F6">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8301F6">
      <w:pPr>
        <w:tabs>
          <w:tab w:val="left" w:pos="426"/>
        </w:tabs>
        <w:spacing w:line="276" w:lineRule="auto"/>
        <w:rPr>
          <w:rFonts w:ascii="Arial" w:eastAsia="Times New Roman" w:hAnsi="Arial" w:cs="Arial"/>
          <w:b/>
          <w:sz w:val="24"/>
          <w:szCs w:val="26"/>
          <w:lang w:eastAsia="pl-PL"/>
        </w:rPr>
      </w:pPr>
    </w:p>
    <w:p w:rsidR="00613D36" w:rsidRPr="00E03067" w:rsidRDefault="00D71B4A" w:rsidP="008301F6">
      <w:pPr>
        <w:spacing w:line="276" w:lineRule="auto"/>
        <w:jc w:val="both"/>
        <w:rPr>
          <w:rFonts w:ascii="Arial" w:eastAsia="Times New Roman" w:hAnsi="Arial" w:cs="Arial"/>
          <w:b/>
          <w:sz w:val="24"/>
          <w:szCs w:val="24"/>
          <w:lang w:eastAsia="pl-PL"/>
        </w:rPr>
      </w:pPr>
      <w:r w:rsidRPr="00E03067">
        <w:rPr>
          <w:rFonts w:ascii="Arial" w:eastAsia="Times New Roman" w:hAnsi="Arial" w:cs="Arial"/>
          <w:sz w:val="24"/>
          <w:szCs w:val="24"/>
          <w:lang w:eastAsia="pl-PL"/>
        </w:rPr>
        <w:t xml:space="preserve">Termin wykonania zamówienia: </w:t>
      </w:r>
      <w:r w:rsidR="00E03067" w:rsidRPr="00E03067">
        <w:rPr>
          <w:rFonts w:ascii="Arial" w:eastAsia="Times New Roman" w:hAnsi="Arial" w:cs="Arial"/>
          <w:b/>
          <w:sz w:val="24"/>
          <w:szCs w:val="24"/>
          <w:lang w:eastAsia="pl-PL"/>
        </w:rPr>
        <w:t>135 dni od dnia zawarcia umowy</w:t>
      </w:r>
    </w:p>
    <w:p w:rsidR="008E7C87" w:rsidRPr="00DB41BA" w:rsidRDefault="008E7C87" w:rsidP="008301F6">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583943" w:rsidRPr="00583943"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583943">
        <w:rPr>
          <w:rFonts w:ascii="Arial" w:eastAsia="Times New Roman" w:hAnsi="Arial" w:cs="Arial"/>
          <w:sz w:val="24"/>
          <w:szCs w:val="24"/>
          <w:lang w:eastAsia="pl-PL"/>
        </w:rPr>
        <w:t>Zamawiający nie wyznacza szczegółowego warunku w tym zakresie.</w:t>
      </w:r>
    </w:p>
    <w:p w:rsidR="002A49D6" w:rsidRPr="00DB41BA" w:rsidRDefault="002A49D6"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8301F6">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465F9E" w:rsidRDefault="007F7096"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465F9E"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lastRenderedPageBreak/>
        <w:t>Z postępowania o udzielenie zamówienia wyklucza się również Wykonawcę, w stosunku do którego zachodzą okoliczności, o których mowa w art. 7 ust. 1 ustawy o szczególnych rozwiązaniach w zakresie przeciwdziałania wspieraniu agresji na Ukrainę oraz służących ochr</w:t>
      </w:r>
      <w:r>
        <w:rPr>
          <w:rFonts w:ascii="Arial" w:hAnsi="Arial" w:cs="Arial"/>
          <w:sz w:val="24"/>
          <w:szCs w:val="24"/>
        </w:rPr>
        <w:t>onie bezpieczeństwa narodowego.</w:t>
      </w:r>
      <w:r>
        <w:rPr>
          <w:rStyle w:val="Odwoanieprzypisudolnego"/>
          <w:rFonts w:ascii="Arial" w:hAnsi="Arial" w:cs="Arial"/>
          <w:sz w:val="24"/>
          <w:szCs w:val="24"/>
        </w:rPr>
        <w:footnoteReference w:id="1"/>
      </w:r>
    </w:p>
    <w:p w:rsidR="00465F9E"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465F9E" w:rsidRPr="00465F9E"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465F9E">
        <w:rPr>
          <w:rFonts w:ascii="Arial" w:hAnsi="Arial" w:cs="Arial"/>
          <w:sz w:val="24"/>
          <w:szCs w:val="24"/>
        </w:rPr>
        <w:t xml:space="preserve">Ponadto Zamawiający, w ramach weryfikacji przesłanek wykluczenia, o których mowa powyżej, zastrzega możliwość wezwania Wykonawcy do złożenia wyjaśnień.  </w:t>
      </w:r>
    </w:p>
    <w:p w:rsidR="00CA2C49"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465F9E" w:rsidRPr="00465F9E" w:rsidRDefault="00465F9E" w:rsidP="008301F6">
      <w:pPr>
        <w:numPr>
          <w:ilvl w:val="1"/>
          <w:numId w:val="16"/>
        </w:numPr>
        <w:tabs>
          <w:tab w:val="left" w:pos="0"/>
          <w:tab w:val="left" w:pos="709"/>
        </w:tabs>
        <w:spacing w:line="276" w:lineRule="auto"/>
        <w:ind w:left="709" w:hanging="709"/>
        <w:jc w:val="both"/>
        <w:rPr>
          <w:rFonts w:ascii="Arial" w:hAnsi="Arial" w:cs="Arial"/>
          <w:sz w:val="24"/>
          <w:szCs w:val="24"/>
        </w:rPr>
      </w:pPr>
      <w:r w:rsidRPr="00465F9E">
        <w:rPr>
          <w:rFonts w:ascii="Arial" w:hAnsi="Arial" w:cs="Arial"/>
          <w:sz w:val="24"/>
          <w:szCs w:val="24"/>
        </w:rPr>
        <w:t>Samooczyszczenie.</w:t>
      </w:r>
    </w:p>
    <w:p w:rsidR="00465F9E" w:rsidRPr="00465F9E" w:rsidRDefault="00465F9E" w:rsidP="008301F6">
      <w:pPr>
        <w:tabs>
          <w:tab w:val="left" w:pos="709"/>
        </w:tabs>
        <w:spacing w:line="276" w:lineRule="auto"/>
        <w:ind w:left="709"/>
        <w:jc w:val="both"/>
        <w:rPr>
          <w:rFonts w:ascii="Arial" w:hAnsi="Arial" w:cs="Arial"/>
          <w:sz w:val="24"/>
          <w:szCs w:val="24"/>
        </w:rPr>
      </w:pPr>
      <w:r w:rsidRPr="00465F9E">
        <w:rPr>
          <w:rFonts w:ascii="Arial" w:hAnsi="Arial" w:cs="Arial"/>
          <w:sz w:val="24"/>
          <w:szCs w:val="24"/>
        </w:rPr>
        <w:t xml:space="preserve">W okolicznościach określonych w art. 108 ust. 1 pkt. 1, 2 i 5 lub art. 109 ust.1  pkt. 4 ustawy </w:t>
      </w:r>
      <w:proofErr w:type="spellStart"/>
      <w:r w:rsidRPr="00465F9E">
        <w:rPr>
          <w:rFonts w:ascii="Arial" w:hAnsi="Arial" w:cs="Arial"/>
          <w:sz w:val="24"/>
          <w:szCs w:val="24"/>
        </w:rPr>
        <w:t>Pzp</w:t>
      </w:r>
      <w:proofErr w:type="spellEnd"/>
      <w:r w:rsidRPr="00465F9E">
        <w:rPr>
          <w:rFonts w:ascii="Arial" w:hAnsi="Arial" w:cs="Arial"/>
          <w:sz w:val="24"/>
          <w:szCs w:val="24"/>
        </w:rPr>
        <w:t>, Wykonawca nie podlega wykluczeniu jeżeli udowodni  Zamawiającemu, że spełnił łącznie następujące przesłanki:</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Naprawił lub zobowiązał się do naprawienia szkody wyrządzonej przestępstwem, wykroczeniem lub swoim nieprawidłowym postępowaniem, w tym poprzez zadośćuczynienie pieniężne;</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465F9E" w:rsidRPr="00465F9E"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465F9E">
        <w:rPr>
          <w:rFonts w:ascii="Arial" w:hAnsi="Arial" w:cs="Arial"/>
          <w:sz w:val="24"/>
          <w:szCs w:val="24"/>
        </w:rPr>
        <w:t>Podjął konkretne środki techniczne, organizacyjne i kadrowe, odpowiednie dla zapobiegania dalszym przestępstwom, wykroczeniom lub nieprawidłowemu postępowaniu, w szczególności:</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zerwał wszelkie powiązania z osobami lub podmiotami odpowiedzialnymi za nieprawidłowe postępowanie Wykonawcy;</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reorganizował personel;</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wdrożył system sprawozdawczości i kontroli;</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utworzył struktury audytu wewnętrznego do monitorowania przestrzegania przepisów, wewnętrznych regulacji lub standardów,</w:t>
      </w:r>
    </w:p>
    <w:p w:rsidR="00465F9E" w:rsidRPr="00465F9E"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465F9E">
        <w:rPr>
          <w:rFonts w:ascii="Arial" w:hAnsi="Arial" w:cs="Arial"/>
          <w:sz w:val="24"/>
          <w:szCs w:val="24"/>
        </w:rPr>
        <w:t>wprowadził wewnętrzne regulacje dotyczące odpowiedzialności i odszkodowań za nieprzestrzeganie przepisów, wewnętrznych regulacji i standardów.</w:t>
      </w:r>
    </w:p>
    <w:p w:rsidR="00465F9E" w:rsidRDefault="00465F9E" w:rsidP="008301F6">
      <w:pPr>
        <w:numPr>
          <w:ilvl w:val="1"/>
          <w:numId w:val="16"/>
        </w:numPr>
        <w:spacing w:line="276" w:lineRule="auto"/>
        <w:ind w:left="709" w:hanging="709"/>
        <w:contextualSpacing/>
        <w:jc w:val="both"/>
        <w:rPr>
          <w:rFonts w:ascii="Arial" w:hAnsi="Arial" w:cs="Arial"/>
          <w:sz w:val="24"/>
          <w:szCs w:val="24"/>
        </w:rPr>
      </w:pPr>
      <w:r w:rsidRPr="00465F9E">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p w:rsidR="004A5C8F" w:rsidRDefault="004A5C8F" w:rsidP="004A5C8F">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8</w:t>
            </w:r>
          </w:p>
          <w:p w:rsidR="005C22DA" w:rsidRDefault="00963373" w:rsidP="008301F6">
            <w:pPr>
              <w:spacing w:line="276"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A34B52" w:rsidRPr="00DB41BA" w:rsidRDefault="00A34B52"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Default="00472143" w:rsidP="008301F6">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583943" w:rsidRPr="00DB41BA"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Pr>
          <w:rFonts w:ascii="Arial" w:eastAsia="Times New Roman" w:hAnsi="Arial" w:cs="Arial"/>
          <w:b/>
          <w:sz w:val="24"/>
          <w:szCs w:val="24"/>
          <w:lang w:eastAsia="pl-PL"/>
        </w:rPr>
        <w:t>Nie dotyczy</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Pr="00DB41BA">
        <w:rPr>
          <w:rFonts w:ascii="Arial" w:eastAsia="Times New Roman" w:hAnsi="Arial" w:cs="Arial"/>
          <w:sz w:val="24"/>
          <w:szCs w:val="24"/>
          <w:lang w:eastAsia="pl-PL"/>
        </w:rPr>
        <w:lastRenderedPageBreak/>
        <w:t>postępowaniu lub kryteria selekcji, a jeżeli zachodzą uzasadnione podstawy do uznania, że złożone uprzednio oświadczenia lub dokumenty nie są już aktualne, do złożenia aktualnych oświadczeń lub dokumentów.</w:t>
      </w:r>
    </w:p>
    <w:p w:rsidR="00A43DEB" w:rsidRPr="00DB41BA" w:rsidRDefault="00A43DEB"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8301F6">
            <w:pPr>
              <w:spacing w:line="276"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w:t>
      </w:r>
      <w:r w:rsidRPr="00DB41BA">
        <w:rPr>
          <w:rFonts w:ascii="Arial" w:eastAsia="Times New Roman" w:hAnsi="Arial" w:cs="Arial"/>
          <w:b/>
          <w:sz w:val="24"/>
          <w:szCs w:val="24"/>
          <w:lang w:eastAsia="pl-PL"/>
        </w:rPr>
        <w:lastRenderedPageBreak/>
        <w:t xml:space="preserve">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DC122D" w:rsidRPr="00DC122D"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rsidR="00495E8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472143" w:rsidRPr="00626986" w:rsidRDefault="00F56469"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r>
      <w:r w:rsidR="00833C8F">
        <w:rPr>
          <w:rFonts w:ascii="Arial" w:eastAsia="Times New Roman" w:hAnsi="Arial" w:cs="Arial"/>
          <w:sz w:val="24"/>
          <w:lang w:eastAsia="pl-PL"/>
        </w:rPr>
        <w:lastRenderedPageBreak/>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301F6">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301F6">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583943" w:rsidRPr="00DB41BA"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i odpowiedzi na Platformie niezwłocznie</w:t>
      </w:r>
      <w:r w:rsidR="00E3726E">
        <w:rPr>
          <w:rFonts w:ascii="Arial" w:eastAsia="Times New Roman" w:hAnsi="Arial" w:cs="Arial"/>
          <w:sz w:val="24"/>
          <w:szCs w:val="24"/>
          <w:lang w:eastAsia="pl-PL"/>
        </w:rPr>
        <w:t>.(</w:t>
      </w:r>
      <w:r w:rsidR="00A43DEB">
        <w:rPr>
          <w:rFonts w:ascii="Arial" w:eastAsia="Times New Roman" w:hAnsi="Arial" w:cs="Arial"/>
          <w:sz w:val="24"/>
          <w:szCs w:val="24"/>
          <w:lang w:eastAsia="pl-PL"/>
        </w:rPr>
        <w:t xml:space="preserve">art. 284 </w:t>
      </w:r>
      <w:proofErr w:type="spellStart"/>
      <w:r w:rsidR="00A43DEB">
        <w:rPr>
          <w:rFonts w:ascii="Arial" w:eastAsia="Times New Roman" w:hAnsi="Arial" w:cs="Arial"/>
          <w:sz w:val="24"/>
          <w:szCs w:val="24"/>
          <w:lang w:eastAsia="pl-PL"/>
        </w:rPr>
        <w:t>P</w:t>
      </w:r>
      <w:r w:rsidR="00E3726E">
        <w:rPr>
          <w:rFonts w:ascii="Arial" w:eastAsia="Times New Roman" w:hAnsi="Arial" w:cs="Arial"/>
          <w:sz w:val="24"/>
          <w:szCs w:val="24"/>
          <w:lang w:eastAsia="pl-PL"/>
        </w:rPr>
        <w:t>zp</w:t>
      </w:r>
      <w:proofErr w:type="spellEnd"/>
      <w:r w:rsidR="00E3726E">
        <w:rPr>
          <w:rFonts w:ascii="Arial" w:eastAsia="Times New Roman" w:hAnsi="Arial" w:cs="Arial"/>
          <w:sz w:val="24"/>
          <w:szCs w:val="24"/>
          <w:lang w:eastAsia="pl-PL"/>
        </w:rPr>
        <w:t>).</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rsidR="002F6B6E" w:rsidRPr="008A16FE"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Wykonawca jest związany ofertą 30 dni od upływu terminu składania ofert</w:t>
      </w:r>
      <w:r w:rsidR="009B286C" w:rsidRPr="008A16FE">
        <w:rPr>
          <w:rFonts w:ascii="Arial" w:eastAsia="Times New Roman" w:hAnsi="Arial" w:cs="Arial"/>
          <w:sz w:val="24"/>
          <w:szCs w:val="24"/>
          <w:lang w:eastAsia="pl-PL"/>
        </w:rPr>
        <w:t xml:space="preserve"> tj</w:t>
      </w:r>
      <w:r w:rsidR="009B286C" w:rsidRPr="00015220">
        <w:rPr>
          <w:rFonts w:ascii="Arial" w:eastAsia="Times New Roman" w:hAnsi="Arial" w:cs="Arial"/>
          <w:sz w:val="24"/>
          <w:szCs w:val="24"/>
          <w:highlight w:val="yellow"/>
          <w:lang w:eastAsia="pl-PL"/>
        </w:rPr>
        <w:t xml:space="preserve">. </w:t>
      </w:r>
      <w:r w:rsidR="008739A3" w:rsidRPr="00015220">
        <w:rPr>
          <w:rFonts w:ascii="Arial" w:eastAsia="Times New Roman" w:hAnsi="Arial" w:cs="Arial"/>
          <w:b/>
          <w:sz w:val="24"/>
          <w:szCs w:val="24"/>
          <w:highlight w:val="yellow"/>
          <w:lang w:eastAsia="pl-PL"/>
        </w:rPr>
        <w:t>13</w:t>
      </w:r>
      <w:r w:rsidR="00AC3878" w:rsidRPr="00015220">
        <w:rPr>
          <w:rFonts w:ascii="Arial" w:eastAsia="Times New Roman" w:hAnsi="Arial" w:cs="Arial"/>
          <w:b/>
          <w:sz w:val="24"/>
          <w:szCs w:val="24"/>
          <w:highlight w:val="yellow"/>
          <w:lang w:eastAsia="pl-PL"/>
        </w:rPr>
        <w:t>.07</w:t>
      </w:r>
      <w:r w:rsidR="00A43DEB" w:rsidRPr="00015220">
        <w:rPr>
          <w:rFonts w:ascii="Arial" w:eastAsia="Times New Roman" w:hAnsi="Arial" w:cs="Arial"/>
          <w:b/>
          <w:sz w:val="24"/>
          <w:szCs w:val="24"/>
          <w:highlight w:val="yellow"/>
          <w:lang w:eastAsia="pl-PL"/>
        </w:rPr>
        <w:t>.</w:t>
      </w:r>
      <w:r w:rsidR="008A16FE" w:rsidRPr="00015220">
        <w:rPr>
          <w:rFonts w:ascii="Arial" w:eastAsia="Times New Roman" w:hAnsi="Arial" w:cs="Arial"/>
          <w:b/>
          <w:sz w:val="24"/>
          <w:szCs w:val="24"/>
          <w:highlight w:val="yellow"/>
          <w:lang w:eastAsia="pl-PL"/>
        </w:rPr>
        <w:t>2023r.</w:t>
      </w:r>
      <w:r w:rsidR="008A16FE" w:rsidRPr="00AC3878">
        <w:rPr>
          <w:rFonts w:ascii="Arial" w:eastAsia="Times New Roman" w:hAnsi="Arial" w:cs="Arial"/>
          <w:b/>
          <w:sz w:val="24"/>
          <w:szCs w:val="24"/>
          <w:lang w:eastAsia="pl-PL"/>
        </w:rPr>
        <w:t xml:space="preserve"> </w:t>
      </w:r>
      <w:r w:rsidRPr="008A16FE">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w:t>
            </w:r>
            <w:r w:rsidR="007C09DB" w:rsidRPr="005C22DA">
              <w:rPr>
                <w:rFonts w:ascii="Arial" w:eastAsia="Times New Roman" w:hAnsi="Arial" w:cs="Arial"/>
                <w:b/>
                <w:sz w:val="24"/>
                <w:szCs w:val="28"/>
                <w:lang w:eastAsia="pl-PL"/>
              </w:rPr>
              <w:t>ozdział 13</w:t>
            </w:r>
          </w:p>
          <w:p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f</w:t>
      </w:r>
      <w:r w:rsidR="00B94C67" w:rsidRPr="00DB41BA">
        <w:rPr>
          <w:rFonts w:ascii="Arial" w:eastAsia="Times New Roman" w:hAnsi="Arial" w:cs="Arial"/>
          <w:sz w:val="24"/>
          <w:szCs w:val="24"/>
          <w:lang w:eastAsia="pl-PL"/>
        </w:rPr>
        <w:t xml:space="preserve">ormaty plików wykorzystywanych przez wykonawców powinny być zgodne </w:t>
      </w:r>
      <w:r w:rsidR="00AC3878">
        <w:rPr>
          <w:rFonts w:ascii="Arial" w:eastAsia="Times New Roman" w:hAnsi="Arial" w:cs="Arial"/>
          <w:sz w:val="24"/>
          <w:szCs w:val="24"/>
          <w:lang w:eastAsia="pl-PL"/>
        </w:rPr>
        <w:br/>
      </w:r>
      <w:r w:rsidR="00B94C67" w:rsidRPr="00DB41BA">
        <w:rPr>
          <w:rFonts w:ascii="Arial" w:eastAsia="Times New Roman" w:hAnsi="Arial" w:cs="Arial"/>
          <w:sz w:val="24"/>
          <w:szCs w:val="24"/>
          <w:lang w:eastAsia="pl-PL"/>
        </w:rPr>
        <w:t>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3247BF" w:rsidRPr="003247BF"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4A5C8F"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4A5C8F"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4A5C8F" w:rsidRPr="00DB41BA" w:rsidRDefault="004A5C8F" w:rsidP="004A5C8F">
      <w:pPr>
        <w:pStyle w:val="Akapitzlist"/>
        <w:tabs>
          <w:tab w:val="left" w:pos="709"/>
        </w:tabs>
        <w:spacing w:line="276" w:lineRule="auto"/>
        <w:ind w:left="709"/>
        <w:jc w:val="both"/>
        <w:rPr>
          <w:rFonts w:ascii="Arial" w:eastAsia="Times New Roman" w:hAnsi="Arial" w:cs="Arial"/>
          <w:sz w:val="24"/>
          <w:szCs w:val="24"/>
          <w:lang w:eastAsia="pl-PL"/>
        </w:rPr>
      </w:pPr>
    </w:p>
    <w:p w:rsidR="0029595E" w:rsidRPr="00DB41BA" w:rsidRDefault="00011D9A" w:rsidP="008301F6">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lastRenderedPageBreak/>
        <w:t>NA OFERTĘ SKŁADAJĄ SIĘ NASTĘPUJĄCE DOKUMENTY, DO ZŁOŻENIA KTÓRYCH ZOBOWIĄZANY JEST WYKONAWCA:</w:t>
      </w:r>
    </w:p>
    <w:p w:rsidR="00B864A8" w:rsidRPr="00DB41BA" w:rsidRDefault="008A16F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F07436">
        <w:rPr>
          <w:rFonts w:ascii="Arial" w:eastAsia="Times New Roman" w:hAnsi="Arial" w:cs="Arial"/>
          <w:b/>
          <w:sz w:val="24"/>
          <w:szCs w:val="24"/>
          <w:lang w:eastAsia="pl-PL"/>
        </w:rPr>
        <w:t>ałączniku nr 1 SWZ</w:t>
      </w:r>
    </w:p>
    <w:p w:rsidR="00B864A8" w:rsidRPr="00DB41BA" w:rsidRDefault="0029595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343921" w:rsidRPr="00DB41BA" w:rsidRDefault="00E12BD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C34F0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4944CE" w:rsidRPr="00DB41BA" w:rsidRDefault="004944CE"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rsidR="00B864A8" w:rsidRPr="00AC3878"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Ofertę wraz z wymaganymi dokumentami należy umieścić na Platformie pod adresem:</w:t>
      </w:r>
      <w:r w:rsidR="00D724ED" w:rsidRPr="00AC3878">
        <w:rPr>
          <w:rFonts w:ascii="Arial" w:eastAsia="Times New Roman" w:hAnsi="Arial" w:cs="Arial"/>
          <w:sz w:val="24"/>
          <w:szCs w:val="24"/>
          <w:lang w:eastAsia="pl-PL"/>
        </w:rPr>
        <w:t xml:space="preserve"> https://platformazakupowa.pl/pn/ug_krasocin </w:t>
      </w:r>
      <w:r w:rsidRPr="00AC3878">
        <w:rPr>
          <w:rFonts w:ascii="Arial" w:eastAsia="Times New Roman" w:hAnsi="Arial" w:cs="Arial"/>
          <w:sz w:val="24"/>
          <w:szCs w:val="24"/>
          <w:lang w:eastAsia="pl-PL"/>
        </w:rPr>
        <w:t xml:space="preserve">na stronie dotyczącej odpowiedniego postępowania </w:t>
      </w:r>
      <w:r w:rsidRPr="00015220">
        <w:rPr>
          <w:rFonts w:ascii="Arial" w:eastAsia="Times New Roman" w:hAnsi="Arial" w:cs="Arial"/>
          <w:b/>
          <w:sz w:val="24"/>
          <w:szCs w:val="24"/>
          <w:highlight w:val="yellow"/>
          <w:lang w:eastAsia="pl-PL"/>
        </w:rPr>
        <w:t xml:space="preserve">do dnia </w:t>
      </w:r>
      <w:r w:rsidR="00015220" w:rsidRPr="00015220">
        <w:rPr>
          <w:rFonts w:ascii="Arial" w:eastAsia="Times New Roman" w:hAnsi="Arial" w:cs="Arial"/>
          <w:b/>
          <w:sz w:val="24"/>
          <w:szCs w:val="24"/>
          <w:highlight w:val="yellow"/>
          <w:lang w:eastAsia="pl-PL"/>
        </w:rPr>
        <w:t>14</w:t>
      </w:r>
      <w:r w:rsidR="00AC3878" w:rsidRPr="00015220">
        <w:rPr>
          <w:rFonts w:ascii="Arial" w:eastAsia="Times New Roman" w:hAnsi="Arial" w:cs="Arial"/>
          <w:b/>
          <w:sz w:val="24"/>
          <w:szCs w:val="24"/>
          <w:highlight w:val="yellow"/>
          <w:lang w:eastAsia="pl-PL"/>
        </w:rPr>
        <w:t>.06.</w:t>
      </w:r>
      <w:r w:rsidR="003247BF" w:rsidRPr="00015220">
        <w:rPr>
          <w:rFonts w:ascii="Arial" w:eastAsia="Times New Roman" w:hAnsi="Arial" w:cs="Arial"/>
          <w:b/>
          <w:sz w:val="24"/>
          <w:szCs w:val="24"/>
          <w:highlight w:val="yellow"/>
          <w:lang w:eastAsia="pl-PL"/>
        </w:rPr>
        <w:t>2023</w:t>
      </w:r>
      <w:r w:rsidR="00EC1DE0" w:rsidRPr="00015220">
        <w:rPr>
          <w:rFonts w:ascii="Arial" w:eastAsia="Times New Roman" w:hAnsi="Arial" w:cs="Arial"/>
          <w:b/>
          <w:sz w:val="24"/>
          <w:szCs w:val="24"/>
          <w:highlight w:val="yellow"/>
          <w:lang w:eastAsia="pl-PL"/>
        </w:rPr>
        <w:t xml:space="preserve">r. </w:t>
      </w:r>
      <w:r w:rsidRPr="00015220">
        <w:rPr>
          <w:rFonts w:ascii="Arial" w:eastAsia="Times New Roman" w:hAnsi="Arial" w:cs="Arial"/>
          <w:b/>
          <w:sz w:val="24"/>
          <w:szCs w:val="24"/>
          <w:highlight w:val="yellow"/>
          <w:lang w:eastAsia="pl-PL"/>
        </w:rPr>
        <w:t>do godz. 12:00.</w:t>
      </w:r>
      <w:r w:rsidRPr="00AC3878">
        <w:rPr>
          <w:rFonts w:ascii="Arial" w:eastAsia="Times New Roman" w:hAnsi="Arial" w:cs="Arial"/>
          <w:b/>
          <w:sz w:val="24"/>
          <w:szCs w:val="24"/>
          <w:lang w:eastAsia="pl-PL"/>
        </w:rPr>
        <w:t xml:space="preserve"> </w:t>
      </w:r>
    </w:p>
    <w:p w:rsidR="00B864A8" w:rsidRPr="00AC3878"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AC3878"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Za datę złożenia oferty przyjmuje się</w:t>
      </w:r>
      <w:r w:rsidRPr="00AC3878">
        <w:rPr>
          <w:rFonts w:ascii="Arial" w:hAnsi="Arial" w:cs="Arial"/>
          <w:b/>
          <w:sz w:val="24"/>
          <w:szCs w:val="24"/>
        </w:rPr>
        <w:t xml:space="preserve"> </w:t>
      </w:r>
      <w:r w:rsidRPr="00AC3878">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AC3878" w:rsidRDefault="00FC4992" w:rsidP="008301F6">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AC3878">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00AC3878" w:rsidRPr="00AC4F34">
          <w:rPr>
            <w:rStyle w:val="Hipercze"/>
            <w:rFonts w:ascii="Arial" w:eastAsia="Times New Roman" w:hAnsi="Arial" w:cs="Arial"/>
            <w:sz w:val="24"/>
            <w:szCs w:val="24"/>
            <w:lang w:eastAsia="pl-PL"/>
          </w:rPr>
          <w:t>https://platformazakupowa.pl/strona/45-instrukcje</w:t>
        </w:r>
      </w:hyperlink>
      <w:r w:rsidR="00AC3878">
        <w:rPr>
          <w:rStyle w:val="Hipercze"/>
          <w:rFonts w:ascii="Arial" w:eastAsia="Times New Roman" w:hAnsi="Arial" w:cs="Arial"/>
          <w:color w:val="auto"/>
          <w:sz w:val="24"/>
          <w:szCs w:val="24"/>
          <w:u w:val="none"/>
          <w:lang w:eastAsia="pl-PL"/>
        </w:rPr>
        <w:t xml:space="preserve"> </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lastRenderedPageBreak/>
        <w:t xml:space="preserve">Otwarcie ofert nastąpi niezwłocznie po upływie </w:t>
      </w:r>
      <w:bookmarkStart w:id="0" w:name="_GoBack"/>
      <w:r w:rsidRPr="00AC3878">
        <w:rPr>
          <w:rFonts w:ascii="Arial" w:eastAsia="Times New Roman" w:hAnsi="Arial" w:cs="Arial"/>
          <w:sz w:val="24"/>
          <w:szCs w:val="24"/>
          <w:lang w:eastAsia="pl-PL"/>
        </w:rPr>
        <w:t>t</w:t>
      </w:r>
      <w:bookmarkEnd w:id="0"/>
      <w:r w:rsidRPr="00AC3878">
        <w:rPr>
          <w:rFonts w:ascii="Arial" w:eastAsia="Times New Roman" w:hAnsi="Arial" w:cs="Arial"/>
          <w:sz w:val="24"/>
          <w:szCs w:val="24"/>
          <w:lang w:eastAsia="pl-PL"/>
        </w:rPr>
        <w:t xml:space="preserve">erminu składania ofert, tj. w dniu </w:t>
      </w:r>
      <w:r w:rsidR="00015220" w:rsidRPr="00015220">
        <w:rPr>
          <w:rFonts w:ascii="Arial" w:eastAsia="Times New Roman" w:hAnsi="Arial" w:cs="Arial"/>
          <w:b/>
          <w:sz w:val="24"/>
          <w:szCs w:val="24"/>
          <w:highlight w:val="yellow"/>
          <w:lang w:eastAsia="pl-PL"/>
        </w:rPr>
        <w:t>14</w:t>
      </w:r>
      <w:r w:rsidR="00AC3878" w:rsidRPr="00015220">
        <w:rPr>
          <w:rFonts w:ascii="Arial" w:eastAsia="Times New Roman" w:hAnsi="Arial" w:cs="Arial"/>
          <w:b/>
          <w:sz w:val="24"/>
          <w:szCs w:val="24"/>
          <w:highlight w:val="yellow"/>
          <w:lang w:eastAsia="pl-PL"/>
        </w:rPr>
        <w:t>.06.</w:t>
      </w:r>
      <w:r w:rsidR="003247BF" w:rsidRPr="00015220">
        <w:rPr>
          <w:rFonts w:ascii="Arial" w:eastAsia="Times New Roman" w:hAnsi="Arial" w:cs="Arial"/>
          <w:b/>
          <w:sz w:val="24"/>
          <w:szCs w:val="24"/>
          <w:highlight w:val="yellow"/>
          <w:lang w:eastAsia="pl-PL"/>
        </w:rPr>
        <w:t>2023</w:t>
      </w:r>
      <w:r w:rsidR="00502621" w:rsidRPr="00015220">
        <w:rPr>
          <w:rFonts w:ascii="Arial" w:eastAsia="Times New Roman" w:hAnsi="Arial" w:cs="Arial"/>
          <w:b/>
          <w:sz w:val="24"/>
          <w:szCs w:val="24"/>
          <w:highlight w:val="yellow"/>
          <w:lang w:eastAsia="pl-PL"/>
        </w:rPr>
        <w:t xml:space="preserve">r. </w:t>
      </w:r>
      <w:r w:rsidR="008A16FE" w:rsidRPr="00015220">
        <w:rPr>
          <w:rFonts w:ascii="Arial" w:eastAsia="Times New Roman" w:hAnsi="Arial" w:cs="Arial"/>
          <w:sz w:val="24"/>
          <w:szCs w:val="24"/>
          <w:highlight w:val="yellow"/>
          <w:lang w:eastAsia="pl-PL"/>
        </w:rPr>
        <w:t>o</w:t>
      </w:r>
      <w:r w:rsidRPr="00015220">
        <w:rPr>
          <w:rFonts w:ascii="Arial" w:eastAsia="Times New Roman" w:hAnsi="Arial" w:cs="Arial"/>
          <w:sz w:val="24"/>
          <w:szCs w:val="24"/>
          <w:highlight w:val="yellow"/>
          <w:lang w:eastAsia="pl-PL"/>
        </w:rPr>
        <w:t xml:space="preserve"> godz. 12:05.</w:t>
      </w:r>
      <w:r w:rsidRPr="00AC3878">
        <w:rPr>
          <w:rFonts w:ascii="Arial" w:eastAsia="Times New Roman" w:hAnsi="Arial" w:cs="Arial"/>
          <w:sz w:val="24"/>
          <w:szCs w:val="24"/>
          <w:lang w:eastAsia="pl-PL"/>
        </w:rPr>
        <w:t xml:space="preserve"> Otwarcie ofert dokonywane jest przez odszyfrowanie </w:t>
      </w:r>
      <w:r w:rsidR="00AC3878" w:rsidRPr="00AC3878">
        <w:rPr>
          <w:rFonts w:ascii="Arial" w:eastAsia="Times New Roman" w:hAnsi="Arial" w:cs="Arial"/>
          <w:sz w:val="24"/>
          <w:szCs w:val="24"/>
          <w:lang w:eastAsia="pl-PL"/>
        </w:rPr>
        <w:br/>
      </w:r>
      <w:r w:rsidRPr="00AC3878">
        <w:rPr>
          <w:rFonts w:ascii="Arial" w:eastAsia="Times New Roman" w:hAnsi="Arial" w:cs="Arial"/>
          <w:sz w:val="24"/>
          <w:szCs w:val="24"/>
          <w:lang w:eastAsia="pl-PL"/>
        </w:rPr>
        <w:t xml:space="preserve">i otwarcie ofert. </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AC3878"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AC387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AC387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AC3878">
        <w:rPr>
          <w:rFonts w:ascii="Arial" w:eastAsia="Times New Roman" w:hAnsi="Arial" w:cs="Arial"/>
          <w:sz w:val="24"/>
          <w:szCs w:val="24"/>
          <w:lang w:eastAsia="pl-PL"/>
        </w:rPr>
        <w:t>cenach lub kosztach zawartych w ofertach.</w:t>
      </w:r>
    </w:p>
    <w:p w:rsidR="008A16FE" w:rsidRPr="00AC3878" w:rsidRDefault="008A16FE" w:rsidP="00381A99">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AC3878" w:rsidRPr="00AC3878"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AC3878" w:rsidRDefault="00B864A8" w:rsidP="008301F6">
            <w:pPr>
              <w:spacing w:line="276" w:lineRule="auto"/>
              <w:jc w:val="center"/>
              <w:rPr>
                <w:rFonts w:ascii="Arial" w:eastAsia="Times New Roman" w:hAnsi="Arial" w:cs="Arial"/>
                <w:b/>
                <w:sz w:val="24"/>
                <w:szCs w:val="28"/>
                <w:lang w:eastAsia="pl-PL"/>
              </w:rPr>
            </w:pPr>
            <w:r w:rsidRPr="00AC3878">
              <w:rPr>
                <w:rFonts w:ascii="Arial" w:eastAsia="Times New Roman" w:hAnsi="Arial" w:cs="Arial"/>
                <w:b/>
                <w:sz w:val="24"/>
                <w:szCs w:val="28"/>
                <w:lang w:eastAsia="pl-PL"/>
              </w:rPr>
              <w:t>Rozdział 15</w:t>
            </w:r>
          </w:p>
          <w:p w:rsidR="00B864A8" w:rsidRPr="00AC3878" w:rsidRDefault="00B864A8" w:rsidP="008301F6">
            <w:pPr>
              <w:spacing w:line="276" w:lineRule="auto"/>
              <w:jc w:val="center"/>
              <w:rPr>
                <w:rFonts w:ascii="Arial" w:eastAsia="Times New Roman" w:hAnsi="Arial" w:cs="Arial"/>
                <w:sz w:val="26"/>
                <w:szCs w:val="26"/>
                <w:lang w:eastAsia="pl-PL"/>
              </w:rPr>
            </w:pPr>
            <w:r w:rsidRPr="00AC3878">
              <w:rPr>
                <w:rFonts w:ascii="Arial" w:eastAsia="Times New Roman" w:hAnsi="Arial" w:cs="Arial"/>
                <w:sz w:val="24"/>
                <w:szCs w:val="28"/>
                <w:lang w:eastAsia="pl-PL"/>
              </w:rPr>
              <w:t xml:space="preserve">SPOSÓB </w:t>
            </w:r>
            <w:r w:rsidR="00F62C6C" w:rsidRPr="00AC3878">
              <w:rPr>
                <w:rFonts w:ascii="Arial" w:eastAsia="Times New Roman" w:hAnsi="Arial" w:cs="Arial"/>
                <w:sz w:val="24"/>
                <w:szCs w:val="28"/>
                <w:lang w:eastAsia="pl-PL"/>
              </w:rPr>
              <w:t>OBLICZENIA CENY</w:t>
            </w:r>
          </w:p>
        </w:tc>
      </w:tr>
    </w:tbl>
    <w:p w:rsidR="00310AFF" w:rsidRPr="00AC3878" w:rsidRDefault="00310AFF" w:rsidP="008301F6">
      <w:pPr>
        <w:tabs>
          <w:tab w:val="left" w:pos="0"/>
        </w:tabs>
        <w:spacing w:line="276" w:lineRule="auto"/>
        <w:jc w:val="both"/>
        <w:rPr>
          <w:rFonts w:ascii="Arial" w:eastAsia="Times New Roman" w:hAnsi="Arial" w:cs="Arial"/>
          <w:sz w:val="24"/>
          <w:szCs w:val="24"/>
          <w:lang w:eastAsia="pl-PL"/>
        </w:rPr>
      </w:pPr>
    </w:p>
    <w:p w:rsidR="00E3726E" w:rsidRPr="00AC3878" w:rsidRDefault="004B426A"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Wykonawca określa cenę realizacji zamówienia poprzez wskazanie w Formularzu ofertowym</w:t>
      </w:r>
      <w:r w:rsidR="00423A07" w:rsidRPr="00AC3878">
        <w:rPr>
          <w:rFonts w:ascii="Arial" w:eastAsia="Times New Roman" w:hAnsi="Arial" w:cs="Arial"/>
          <w:sz w:val="24"/>
          <w:szCs w:val="24"/>
          <w:lang w:eastAsia="pl-PL"/>
        </w:rPr>
        <w:t xml:space="preserve"> - </w:t>
      </w:r>
      <w:r w:rsidR="00977393" w:rsidRPr="00AC3878">
        <w:rPr>
          <w:rFonts w:ascii="Arial" w:eastAsia="Times New Roman" w:hAnsi="Arial" w:cs="Arial"/>
          <w:b/>
          <w:sz w:val="24"/>
          <w:szCs w:val="24"/>
          <w:lang w:eastAsia="pl-PL"/>
        </w:rPr>
        <w:t>załącznik</w:t>
      </w:r>
      <w:r w:rsidR="00423A07" w:rsidRPr="00AC3878">
        <w:rPr>
          <w:rFonts w:ascii="Arial" w:eastAsia="Times New Roman" w:hAnsi="Arial" w:cs="Arial"/>
          <w:b/>
          <w:sz w:val="24"/>
          <w:szCs w:val="24"/>
          <w:lang w:eastAsia="pl-PL"/>
        </w:rPr>
        <w:t xml:space="preserve"> nr 1</w:t>
      </w:r>
      <w:r w:rsidR="00867901" w:rsidRPr="00AC3878">
        <w:rPr>
          <w:rFonts w:ascii="Arial" w:eastAsia="Times New Roman" w:hAnsi="Arial" w:cs="Arial"/>
          <w:b/>
          <w:sz w:val="24"/>
          <w:szCs w:val="24"/>
          <w:lang w:eastAsia="pl-PL"/>
        </w:rPr>
        <w:t xml:space="preserve"> do SWZ.</w:t>
      </w:r>
    </w:p>
    <w:p w:rsidR="00E3726E" w:rsidRPr="00AC3878" w:rsidRDefault="00E3726E"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Cena oferty zostanie przedstawiona w formie ryczałtu - ustawa z dnia 23 kwietnia 1964 roku – Kodeks cywilny (</w:t>
      </w:r>
      <w:proofErr w:type="spellStart"/>
      <w:r w:rsidRPr="00AC3878">
        <w:rPr>
          <w:rFonts w:ascii="Arial" w:eastAsia="Times New Roman" w:hAnsi="Arial" w:cs="Arial"/>
          <w:sz w:val="24"/>
          <w:szCs w:val="24"/>
          <w:lang w:eastAsia="pl-PL"/>
        </w:rPr>
        <w:t>t.j</w:t>
      </w:r>
      <w:proofErr w:type="spellEnd"/>
      <w:r w:rsidRPr="00AC3878">
        <w:rPr>
          <w:rFonts w:ascii="Arial" w:eastAsia="Times New Roman" w:hAnsi="Arial" w:cs="Arial"/>
          <w:sz w:val="24"/>
          <w:szCs w:val="24"/>
          <w:lang w:eastAsia="pl-PL"/>
        </w:rPr>
        <w:t xml:space="preserve">.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rsidR="00E3726E" w:rsidRPr="00AC3878" w:rsidRDefault="00E3726E"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W związku z powyższym cena oferty musi zawierać wszelkie koszty niezbędne do zrealizowania zamówienia wynikające wprost z dokumentacji projektowej, jak również w niej nieujęte w szczególności będą to koszty: koszty zapewnienia osób nadzorujących roboty ze stron</w:t>
      </w:r>
      <w:r w:rsidR="00AC3878" w:rsidRPr="00AC3878">
        <w:rPr>
          <w:rFonts w:ascii="Arial" w:eastAsia="Times New Roman" w:hAnsi="Arial" w:cs="Arial"/>
          <w:sz w:val="24"/>
          <w:szCs w:val="24"/>
          <w:lang w:eastAsia="pl-PL"/>
        </w:rPr>
        <w:t>y Wykonawcy (kierownika budowy/</w:t>
      </w:r>
      <w:r w:rsidRPr="00AC3878">
        <w:rPr>
          <w:rFonts w:ascii="Arial" w:eastAsia="Times New Roman" w:hAnsi="Arial" w:cs="Arial"/>
          <w:sz w:val="24"/>
          <w:szCs w:val="24"/>
          <w:lang w:eastAsia="pl-PL"/>
        </w:rPr>
        <w:t xml:space="preserve">kierowników robót branżowych wymaganych Prawem budowlanym), wykonania wszelkich robót budowlanych niezbędnych do wykonania przedmiotu zamówienia, wykonania wszelkich robót przygotowawczych, wykończeniowych i porządkowych, zorganizowania, 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w:t>
      </w:r>
      <w:r w:rsidRPr="00AC3878">
        <w:rPr>
          <w:rFonts w:ascii="Arial" w:eastAsia="Times New Roman" w:hAnsi="Arial" w:cs="Arial"/>
          <w:sz w:val="24"/>
          <w:szCs w:val="24"/>
          <w:lang w:eastAsia="pl-PL"/>
        </w:rPr>
        <w:lastRenderedPageBreak/>
        <w:t xml:space="preserve">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Zaleca się szczegółowe sprawdzenie dokumentacji projektowej, specyfikacji technicznej wykonania i odbioru robót jak również przyszłego placu budowy. </w:t>
      </w:r>
    </w:p>
    <w:p w:rsidR="00E3726E" w:rsidRPr="00AC3878" w:rsidRDefault="00E3726E" w:rsidP="00E3726E">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Nie jest wymagane załączanie do oferty kosztorysów ofertowych.</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rsidR="00014707" w:rsidRPr="00DB41BA" w:rsidRDefault="00014707"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8301F6">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rsidTr="001432BF">
        <w:tc>
          <w:tcPr>
            <w:tcW w:w="537"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rsidTr="001432BF">
        <w:tc>
          <w:tcPr>
            <w:tcW w:w="537"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8301F6">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w:t>
      </w:r>
      <w:proofErr w:type="spellStart"/>
      <w:r w:rsidRPr="00226909">
        <w:rPr>
          <w:rFonts w:ascii="Arial" w:hAnsi="Arial" w:cs="Arial"/>
          <w:b/>
          <w:sz w:val="24"/>
          <w:szCs w:val="24"/>
        </w:rPr>
        <w:t>Cn</w:t>
      </w:r>
      <w:proofErr w:type="spellEnd"/>
      <w:r w:rsidRPr="00226909">
        <w:rPr>
          <w:rFonts w:ascii="Arial" w:hAnsi="Arial" w:cs="Arial"/>
          <w:b/>
          <w:sz w:val="24"/>
          <w:szCs w:val="24"/>
        </w:rPr>
        <w:t xml:space="preserve"> / </w:t>
      </w:r>
      <w:proofErr w:type="spellStart"/>
      <w:r w:rsidRPr="00226909">
        <w:rPr>
          <w:rFonts w:ascii="Arial" w:hAnsi="Arial" w:cs="Arial"/>
          <w:b/>
          <w:sz w:val="24"/>
          <w:szCs w:val="24"/>
        </w:rPr>
        <w:t>Cb</w:t>
      </w:r>
      <w:proofErr w:type="spellEnd"/>
      <w:r w:rsidRPr="00226909">
        <w:rPr>
          <w:rFonts w:ascii="Arial" w:hAnsi="Arial" w:cs="Arial"/>
          <w:b/>
          <w:sz w:val="24"/>
          <w:szCs w:val="24"/>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rsidR="005412B2" w:rsidRDefault="00343921" w:rsidP="008301F6">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lastRenderedPageBreak/>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rsidTr="00421182">
        <w:tc>
          <w:tcPr>
            <w:tcW w:w="5954"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i rękojmi</w:t>
            </w:r>
          </w:p>
        </w:tc>
        <w:tc>
          <w:tcPr>
            <w:tcW w:w="2409" w:type="dxa"/>
            <w:shd w:val="clear" w:color="auto" w:fill="auto"/>
          </w:tcPr>
          <w:p w:rsidR="005412B2" w:rsidRPr="00DB41BA" w:rsidRDefault="005412B2" w:rsidP="008301F6">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20 pkt</w:t>
            </w:r>
          </w:p>
        </w:tc>
      </w:tr>
      <w:tr w:rsidR="001432BF" w:rsidRPr="00DB41BA" w:rsidTr="00421182">
        <w:tc>
          <w:tcPr>
            <w:tcW w:w="5954" w:type="dxa"/>
            <w:shd w:val="clear" w:color="auto" w:fill="auto"/>
          </w:tcPr>
          <w:p w:rsidR="001432BF" w:rsidRPr="003E1765" w:rsidRDefault="001432BF" w:rsidP="008301F6">
            <w:pPr>
              <w:tabs>
                <w:tab w:val="num" w:pos="360"/>
              </w:tabs>
              <w:spacing w:line="276"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rsidR="001432BF" w:rsidRPr="003E1765" w:rsidRDefault="001432BF" w:rsidP="008301F6">
            <w:pPr>
              <w:tabs>
                <w:tab w:val="num" w:pos="360"/>
              </w:tabs>
              <w:spacing w:line="276" w:lineRule="auto"/>
              <w:jc w:val="center"/>
              <w:rPr>
                <w:rFonts w:ascii="Arial" w:hAnsi="Arial" w:cs="Arial"/>
                <w:szCs w:val="24"/>
              </w:rPr>
            </w:pPr>
            <w:r w:rsidRPr="003E1765">
              <w:rPr>
                <w:rFonts w:ascii="Arial" w:hAnsi="Arial" w:cs="Arial"/>
                <w:szCs w:val="24"/>
              </w:rPr>
              <w:t>40 pkt</w:t>
            </w:r>
          </w:p>
        </w:tc>
      </w:tr>
    </w:tbl>
    <w:p w:rsidR="005412B2" w:rsidRPr="00DB41BA" w:rsidRDefault="005412B2" w:rsidP="008301F6">
      <w:pPr>
        <w:pStyle w:val="Akapitzlist"/>
        <w:tabs>
          <w:tab w:val="num" w:pos="360"/>
        </w:tabs>
        <w:spacing w:line="276" w:lineRule="auto"/>
        <w:ind w:left="435"/>
        <w:jc w:val="both"/>
        <w:rPr>
          <w:rFonts w:ascii="Arial" w:hAnsi="Arial" w:cs="Arial"/>
          <w:sz w:val="24"/>
          <w:szCs w:val="24"/>
        </w:rPr>
      </w:pPr>
    </w:p>
    <w:p w:rsidR="001432BF" w:rsidRPr="001432BF" w:rsidRDefault="001432BF" w:rsidP="008301F6">
      <w:pPr>
        <w:tabs>
          <w:tab w:val="num" w:pos="360"/>
        </w:tabs>
        <w:spacing w:line="276" w:lineRule="auto"/>
        <w:ind w:left="708"/>
        <w:contextualSpacing/>
        <w:jc w:val="both"/>
        <w:rPr>
          <w:rFonts w:ascii="Arial" w:hAnsi="Arial" w:cs="Arial"/>
          <w:sz w:val="24"/>
          <w:szCs w:val="24"/>
        </w:rPr>
      </w:pPr>
      <w:r w:rsidRPr="001432BF">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1432BF" w:rsidRPr="001432BF" w:rsidRDefault="001432BF" w:rsidP="008301F6">
      <w:pPr>
        <w:spacing w:line="276"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rsidR="001432BF" w:rsidRPr="001432BF" w:rsidRDefault="001432BF" w:rsidP="008301F6">
      <w:pPr>
        <w:spacing w:line="276"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9D4426"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2766EB">
        <w:rPr>
          <w:rFonts w:ascii="Arial" w:eastAsia="Times New Roman" w:hAnsi="Arial" w:cs="Arial"/>
          <w:sz w:val="24"/>
          <w:szCs w:val="24"/>
          <w:lang w:eastAsia="pl-PL"/>
        </w:rPr>
        <w:t>Wykonawca zobowiązany jest do zabezpieczenia sw</w:t>
      </w:r>
      <w:r w:rsidR="0094589F" w:rsidRPr="002766EB">
        <w:rPr>
          <w:rFonts w:ascii="Arial" w:eastAsia="Times New Roman" w:hAnsi="Arial" w:cs="Arial"/>
          <w:sz w:val="24"/>
          <w:szCs w:val="24"/>
          <w:lang w:eastAsia="pl-PL"/>
        </w:rPr>
        <w:t xml:space="preserve">ojej oferty wadium w wysokości: </w:t>
      </w:r>
      <w:r w:rsidR="009D4426" w:rsidRPr="002766EB">
        <w:rPr>
          <w:rFonts w:ascii="Arial" w:eastAsia="Times New Roman" w:hAnsi="Arial" w:cs="Arial"/>
          <w:sz w:val="24"/>
          <w:szCs w:val="24"/>
          <w:lang w:eastAsia="pl-PL"/>
        </w:rPr>
        <w:t xml:space="preserve"> </w:t>
      </w:r>
      <w:r w:rsidR="00502621" w:rsidRPr="002766EB">
        <w:rPr>
          <w:rFonts w:ascii="Arial" w:eastAsia="Times New Roman" w:hAnsi="Arial" w:cs="Arial"/>
          <w:sz w:val="24"/>
          <w:szCs w:val="24"/>
          <w:lang w:eastAsia="pl-PL"/>
        </w:rPr>
        <w:t xml:space="preserve"> </w:t>
      </w:r>
      <w:r w:rsidR="00502621" w:rsidRPr="002766EB">
        <w:rPr>
          <w:rFonts w:ascii="Arial" w:eastAsia="Times New Roman" w:hAnsi="Arial" w:cs="Arial"/>
          <w:sz w:val="24"/>
          <w:szCs w:val="24"/>
          <w:lang w:eastAsia="pl-PL"/>
        </w:rPr>
        <w:br/>
      </w:r>
      <w:r w:rsidR="002766EB" w:rsidRPr="002766EB">
        <w:rPr>
          <w:rFonts w:ascii="Arial" w:eastAsia="Times New Roman" w:hAnsi="Arial" w:cs="Arial"/>
          <w:sz w:val="24"/>
          <w:szCs w:val="24"/>
          <w:lang w:eastAsia="pl-PL"/>
        </w:rPr>
        <w:t xml:space="preserve"> 7 500 zł (słownie: siedem tysięcy pięćset złotych, zero groszy)</w:t>
      </w:r>
      <w:r w:rsidR="00E3726E" w:rsidRPr="002766EB">
        <w:rPr>
          <w:rFonts w:ascii="Arial" w:eastAsia="Times New Roman" w:hAnsi="Arial" w:cs="Arial"/>
          <w:sz w:val="24"/>
          <w:szCs w:val="24"/>
          <w:lang w:eastAsia="pl-PL"/>
        </w:rPr>
        <w:t>.</w:t>
      </w:r>
      <w:r w:rsidR="00485295" w:rsidRPr="002766EB">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8301F6">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poręczeniach udzielanych przez podmioty, o których mowa w art. 6b ust. 5 pkt 2 ustawy z dnia 9 listopada 2000 r. o utworzeniu Polskiej Agencji Rozwoju Przedsiębiorczości (Dz. U. z 2020 r. poz. 299).</w:t>
      </w:r>
    </w:p>
    <w:p w:rsidR="006B3E05" w:rsidRPr="004A5C8F" w:rsidRDefault="003A65E8" w:rsidP="008301F6">
      <w:pPr>
        <w:pStyle w:val="Akapitzlist"/>
        <w:numPr>
          <w:ilvl w:val="1"/>
          <w:numId w:val="37"/>
        </w:numPr>
        <w:tabs>
          <w:tab w:val="left" w:pos="709"/>
        </w:tabs>
        <w:spacing w:line="276" w:lineRule="auto"/>
        <w:jc w:val="both"/>
        <w:rPr>
          <w:rFonts w:ascii="Arial" w:eastAsia="Times New Roman" w:hAnsi="Arial" w:cs="Arial"/>
          <w:sz w:val="24"/>
          <w:szCs w:val="24"/>
          <w:lang w:eastAsia="pl-PL"/>
        </w:rPr>
      </w:pPr>
      <w:r w:rsidRPr="004A5C8F">
        <w:rPr>
          <w:rFonts w:ascii="Arial" w:eastAsia="Times New Roman" w:hAnsi="Arial" w:cs="Arial"/>
          <w:sz w:val="24"/>
          <w:szCs w:val="24"/>
          <w:lang w:eastAsia="pl-PL"/>
        </w:rPr>
        <w:t>Wadium w formie pieniądza należy wnieść przelewem</w:t>
      </w:r>
      <w:r w:rsidR="006B3E05" w:rsidRPr="004A5C8F">
        <w:rPr>
          <w:rFonts w:ascii="Arial" w:eastAsia="Times New Roman" w:hAnsi="Arial" w:cs="Arial"/>
          <w:sz w:val="24"/>
          <w:szCs w:val="24"/>
          <w:lang w:eastAsia="pl-PL"/>
        </w:rPr>
        <w:t xml:space="preserve"> na konto:</w:t>
      </w:r>
    </w:p>
    <w:p w:rsidR="0001155A" w:rsidRPr="004A5C8F" w:rsidRDefault="006B3E05" w:rsidP="0001155A">
      <w:pPr>
        <w:tabs>
          <w:tab w:val="left" w:pos="709"/>
        </w:tabs>
        <w:spacing w:line="276" w:lineRule="auto"/>
        <w:ind w:left="708"/>
        <w:jc w:val="center"/>
        <w:rPr>
          <w:rFonts w:ascii="Arial" w:eastAsia="Times New Roman" w:hAnsi="Arial" w:cs="Arial"/>
          <w:b/>
          <w:i/>
          <w:sz w:val="24"/>
          <w:szCs w:val="24"/>
          <w:lang w:eastAsia="pl-PL"/>
        </w:rPr>
      </w:pPr>
      <w:r w:rsidRPr="004A5C8F">
        <w:rPr>
          <w:rFonts w:ascii="Arial" w:eastAsia="Times New Roman" w:hAnsi="Arial" w:cs="Arial"/>
          <w:sz w:val="24"/>
          <w:szCs w:val="24"/>
          <w:lang w:eastAsia="pl-PL"/>
        </w:rPr>
        <w:t xml:space="preserve">Bank BS Włoszczowa o/Krasocin nr: 19 8525 0002 0010 0012 0043 0005 z dopiskiem: </w:t>
      </w:r>
      <w:r w:rsidR="0001155A" w:rsidRPr="004A5C8F">
        <w:rPr>
          <w:rFonts w:ascii="Arial" w:eastAsia="Times New Roman" w:hAnsi="Arial" w:cs="Arial"/>
          <w:b/>
          <w:i/>
          <w:sz w:val="24"/>
          <w:szCs w:val="24"/>
          <w:lang w:eastAsia="pl-PL"/>
        </w:rPr>
        <w:t xml:space="preserve">Zagospodarowanie terenu wokół stawu </w:t>
      </w:r>
    </w:p>
    <w:p w:rsidR="003A65E8" w:rsidRPr="00DB41BA" w:rsidRDefault="003A65E8" w:rsidP="0001155A">
      <w:pPr>
        <w:tabs>
          <w:tab w:val="left" w:pos="709"/>
        </w:tabs>
        <w:spacing w:line="276" w:lineRule="auto"/>
        <w:ind w:left="708"/>
        <w:jc w:val="center"/>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8301F6">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8301F6">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8301F6">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1432BF" w:rsidRPr="00DB41BA" w:rsidRDefault="001432BF"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E3726E"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E3726E" w:rsidRPr="005D49AE" w:rsidRDefault="00E3726E" w:rsidP="00E3726E">
      <w:pPr>
        <w:pStyle w:val="Akapitzlist"/>
        <w:numPr>
          <w:ilvl w:val="1"/>
          <w:numId w:val="4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Najpóźniej w dniu zawarcia umowy Wykonawca zobowiązany jest złożyć zamawiającemu:</w:t>
      </w:r>
    </w:p>
    <w:p w:rsidR="00E3726E" w:rsidRPr="005D49AE" w:rsidRDefault="00E3726E" w:rsidP="00E3726E">
      <w:pPr>
        <w:pStyle w:val="Akapitzlist"/>
        <w:numPr>
          <w:ilvl w:val="0"/>
          <w:numId w:val="6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zabezpieczenie należytego wykonania umowy;</w:t>
      </w:r>
    </w:p>
    <w:p w:rsidR="00E3726E" w:rsidRPr="005D49AE" w:rsidRDefault="00E3726E" w:rsidP="00E3726E">
      <w:pPr>
        <w:pStyle w:val="Akapitzlist"/>
        <w:numPr>
          <w:ilvl w:val="0"/>
          <w:numId w:val="6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lastRenderedPageBreak/>
        <w:t>kosztorysy ofertowe opracowane metodą kalkulacji szczegółowej, które będą służyć Zamawiającemu:</w:t>
      </w:r>
    </w:p>
    <w:p w:rsidR="00E3726E" w:rsidRPr="005D49AE" w:rsidRDefault="00E3726E" w:rsidP="00E3726E">
      <w:pPr>
        <w:tabs>
          <w:tab w:val="left" w:pos="709"/>
        </w:tabs>
        <w:spacing w:line="276" w:lineRule="auto"/>
        <w:ind w:left="720"/>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obliczenia należnego wynagrodzenia Wykonawcy w przypadku odstąpienia od umowy;</w:t>
      </w:r>
    </w:p>
    <w:p w:rsidR="00E3726E" w:rsidRPr="005D49AE" w:rsidRDefault="00E3726E" w:rsidP="00E3726E">
      <w:pPr>
        <w:tabs>
          <w:tab w:val="left" w:pos="709"/>
        </w:tabs>
        <w:spacing w:line="276" w:lineRule="auto"/>
        <w:ind w:left="720"/>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xml:space="preserve">- obliczenia należnego wynagrodzenia za ewentualne zabezpieczenie przerwanych robót; wyliczenia wartości robót zamiennych i zaniechanych; </w:t>
      </w:r>
    </w:p>
    <w:p w:rsidR="00E3726E" w:rsidRPr="005D49AE" w:rsidRDefault="00E3726E" w:rsidP="00E3726E">
      <w:pPr>
        <w:tabs>
          <w:tab w:val="left" w:pos="709"/>
        </w:tabs>
        <w:spacing w:line="276" w:lineRule="auto"/>
        <w:ind w:left="720"/>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w przypadku waloryzacji umowy do obliczenia należnego wynagrodzenia wykonawcy .</w:t>
      </w:r>
    </w:p>
    <w:p w:rsidR="00E3726E" w:rsidRPr="005D49AE" w:rsidRDefault="00E3726E" w:rsidP="005D49AE">
      <w:pPr>
        <w:pStyle w:val="Akapitzlist"/>
        <w:numPr>
          <w:ilvl w:val="0"/>
          <w:numId w:val="60"/>
        </w:numPr>
        <w:tabs>
          <w:tab w:val="left" w:pos="709"/>
        </w:tabs>
        <w:spacing w:line="276" w:lineRule="auto"/>
        <w:jc w:val="both"/>
        <w:rPr>
          <w:rFonts w:ascii="Arial" w:eastAsia="Times New Roman" w:hAnsi="Arial" w:cs="Arial"/>
          <w:sz w:val="24"/>
          <w:szCs w:val="24"/>
          <w:lang w:eastAsia="pl-PL"/>
        </w:rPr>
      </w:pPr>
      <w:r w:rsidRPr="005D49AE">
        <w:rPr>
          <w:rFonts w:ascii="Arial" w:eastAsia="Times New Roman" w:hAnsi="Arial" w:cs="Arial"/>
          <w:sz w:val="24"/>
          <w:szCs w:val="24"/>
          <w:lang w:eastAsia="pl-PL"/>
        </w:rPr>
        <w:t xml:space="preserve">Harmonogram rzeczowo – terminowo – finansowy, </w:t>
      </w:r>
      <w:r w:rsidR="00AC3878" w:rsidRPr="005D49AE">
        <w:rPr>
          <w:rFonts w:ascii="Arial" w:eastAsia="Times New Roman" w:hAnsi="Arial" w:cs="Arial"/>
          <w:sz w:val="24"/>
          <w:szCs w:val="24"/>
          <w:lang w:eastAsia="pl-PL"/>
        </w:rPr>
        <w:t xml:space="preserve">opracowany prze Wykonawcę </w:t>
      </w:r>
      <w:r w:rsidR="005D49AE" w:rsidRPr="005D49AE">
        <w:rPr>
          <w:rFonts w:ascii="Arial" w:eastAsia="Times New Roman" w:hAnsi="Arial" w:cs="Arial"/>
          <w:sz w:val="24"/>
          <w:szCs w:val="24"/>
          <w:lang w:eastAsia="pl-PL"/>
        </w:rPr>
        <w:br/>
      </w:r>
      <w:r w:rsidR="00AC3878" w:rsidRPr="005D49AE">
        <w:rPr>
          <w:rFonts w:ascii="Arial" w:eastAsia="Times New Roman" w:hAnsi="Arial" w:cs="Arial"/>
          <w:sz w:val="24"/>
          <w:szCs w:val="24"/>
          <w:lang w:eastAsia="pl-PL"/>
        </w:rPr>
        <w:t xml:space="preserve">i uzgodniony z Zamawiającym, </w:t>
      </w:r>
      <w:r w:rsidRPr="005D49AE">
        <w:rPr>
          <w:rFonts w:ascii="Arial" w:eastAsia="Times New Roman" w:hAnsi="Arial" w:cs="Arial"/>
          <w:sz w:val="24"/>
          <w:szCs w:val="24"/>
          <w:lang w:eastAsia="pl-PL"/>
        </w:rPr>
        <w:t>który</w:t>
      </w:r>
      <w:r w:rsidR="005D49AE" w:rsidRPr="005D49AE">
        <w:rPr>
          <w:rFonts w:ascii="Arial" w:eastAsia="Times New Roman" w:hAnsi="Arial" w:cs="Arial"/>
          <w:sz w:val="24"/>
          <w:szCs w:val="24"/>
          <w:lang w:eastAsia="pl-PL"/>
        </w:rPr>
        <w:t xml:space="preserve"> będzie</w:t>
      </w:r>
      <w:r w:rsidRPr="005D49AE">
        <w:rPr>
          <w:rFonts w:ascii="Arial" w:eastAsia="Times New Roman" w:hAnsi="Arial" w:cs="Arial"/>
          <w:sz w:val="24"/>
          <w:szCs w:val="24"/>
          <w:lang w:eastAsia="pl-PL"/>
        </w:rPr>
        <w:t xml:space="preserve"> stanowi</w:t>
      </w:r>
      <w:r w:rsidR="005D49AE" w:rsidRPr="005D49AE">
        <w:rPr>
          <w:rFonts w:ascii="Arial" w:eastAsia="Times New Roman" w:hAnsi="Arial" w:cs="Arial"/>
          <w:sz w:val="24"/>
          <w:szCs w:val="24"/>
          <w:lang w:eastAsia="pl-PL"/>
        </w:rPr>
        <w:t>ć podstawę do rozliczeń częściowych.</w:t>
      </w:r>
    </w:p>
    <w:p w:rsidR="00183C5B" w:rsidRPr="005D49AE" w:rsidRDefault="00183C5B" w:rsidP="005D49AE">
      <w:pPr>
        <w:tabs>
          <w:tab w:val="left" w:pos="709"/>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8301F6">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432BF">
        <w:rPr>
          <w:rFonts w:ascii="Arial" w:eastAsia="Times New Roman" w:hAnsi="Arial" w:cs="Arial"/>
          <w:b/>
          <w:sz w:val="24"/>
          <w:szCs w:val="24"/>
          <w:lang w:eastAsia="pl-PL"/>
        </w:rPr>
        <w:t>5</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rsidR="0091787C" w:rsidRPr="00DB41BA" w:rsidRDefault="0091787C" w:rsidP="008301F6">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8301F6">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8301F6">
      <w:pPr>
        <w:pStyle w:val="Akapitzlist"/>
        <w:numPr>
          <w:ilvl w:val="0"/>
          <w:numId w:val="4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8301F6">
      <w:pPr>
        <w:pStyle w:val="Akapitzlist"/>
        <w:numPr>
          <w:ilvl w:val="0"/>
          <w:numId w:val="44"/>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8301F6">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8301F6">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FC2088" w:rsidRPr="00FC2088" w:rsidRDefault="00FC2088" w:rsidP="008301F6">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8301F6">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administratorem Pani/Pana danych osobowych jest   Wójt Gminy Krasocin  z  siedzibą  w Krasocinie  przy  ul.  Macierzy Szkolnej 1,  29-105 Krasocin,  tel.:  +48  41 391 70 26,  fax:  +48 41 391 70 10, e-mail: gmina@krasocin.com.pl; </w:t>
      </w:r>
    </w:p>
    <w:p w:rsidR="002765A1" w:rsidRP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prawo do wniesienia skargi do Prezesa Urzędu Ochrony Danych Osobowych, gdy uzna Pani/Pan, że przetwarzanie danych osobowych Pani/Pana dotyczących narusza przepisy RODO;  </w:t>
      </w:r>
    </w:p>
    <w:p w:rsidR="00826CF0" w:rsidRPr="00DB41BA" w:rsidRDefault="00826CF0" w:rsidP="008301F6">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8301F6">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rsidR="005A235D" w:rsidRPr="00DB41BA"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A235D" w:rsidRPr="00DB41BA">
        <w:rPr>
          <w:rFonts w:ascii="Arial" w:eastAsia="Times New Roman" w:hAnsi="Arial" w:cs="Arial"/>
          <w:sz w:val="24"/>
          <w:szCs w:val="24"/>
          <w:lang w:eastAsia="pl-PL"/>
        </w:rPr>
        <w:t>Załącznik nr 1</w:t>
      </w:r>
      <w:r w:rsidR="005A235D" w:rsidRPr="00DB41BA">
        <w:rPr>
          <w:rFonts w:ascii="Arial" w:eastAsia="Times New Roman" w:hAnsi="Arial" w:cs="Arial"/>
          <w:sz w:val="24"/>
          <w:szCs w:val="24"/>
          <w:lang w:eastAsia="pl-PL"/>
        </w:rPr>
        <w:tab/>
        <w:t xml:space="preserve">Formularz Ofertowy </w:t>
      </w:r>
    </w:p>
    <w:p w:rsidR="00A85769" w:rsidRPr="00DB41BA" w:rsidRDefault="002766EB" w:rsidP="008301F6">
      <w:pPr>
        <w:tabs>
          <w:tab w:val="left" w:pos="330"/>
        </w:tabs>
        <w:spacing w:line="276" w:lineRule="auto"/>
        <w:ind w:left="2268" w:hanging="2268"/>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85769" w:rsidRPr="00DB41BA">
        <w:rPr>
          <w:rFonts w:ascii="Arial" w:eastAsia="Times New Roman" w:hAnsi="Arial" w:cs="Arial"/>
          <w:sz w:val="24"/>
          <w:szCs w:val="24"/>
          <w:lang w:eastAsia="pl-PL"/>
        </w:rPr>
        <w:t>Załącznik nr 2</w:t>
      </w:r>
      <w:r w:rsidR="00A85769" w:rsidRPr="00DB41BA">
        <w:rPr>
          <w:rFonts w:ascii="Arial" w:eastAsia="Times New Roman" w:hAnsi="Arial" w:cs="Arial"/>
          <w:sz w:val="24"/>
          <w:szCs w:val="24"/>
          <w:lang w:eastAsia="pl-PL"/>
        </w:rPr>
        <w:tab/>
        <w:t xml:space="preserve">Oświadczenie o braku podstaw do wykluczenia </w:t>
      </w:r>
    </w:p>
    <w:p w:rsidR="005306BB" w:rsidRPr="00DB25E6"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306BB"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005306BB" w:rsidRPr="00DB25E6">
        <w:rPr>
          <w:rFonts w:ascii="Arial" w:eastAsia="Times New Roman" w:hAnsi="Arial" w:cs="Arial"/>
          <w:sz w:val="24"/>
          <w:szCs w:val="24"/>
          <w:lang w:eastAsia="pl-PL"/>
        </w:rPr>
        <w:tab/>
        <w:t>Wzór umowy</w:t>
      </w:r>
    </w:p>
    <w:p w:rsidR="005306BB" w:rsidRPr="00226909" w:rsidRDefault="002766EB" w:rsidP="008301F6">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306BB"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005306BB" w:rsidRPr="00226909">
        <w:rPr>
          <w:rFonts w:ascii="Arial" w:eastAsia="Times New Roman" w:hAnsi="Arial" w:cs="Arial"/>
          <w:sz w:val="24"/>
          <w:szCs w:val="24"/>
          <w:lang w:eastAsia="pl-PL"/>
        </w:rPr>
        <w:t xml:space="preserve">    </w:t>
      </w:r>
      <w:r w:rsidR="005306BB"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t xml:space="preserve">OPZ </w:t>
      </w:r>
      <w:r w:rsidR="001432BF">
        <w:rPr>
          <w:rFonts w:ascii="Arial" w:eastAsia="Times New Roman" w:hAnsi="Arial" w:cs="Arial"/>
          <w:sz w:val="24"/>
          <w:szCs w:val="24"/>
          <w:lang w:eastAsia="pl-PL"/>
        </w:rPr>
        <w:t>(</w:t>
      </w:r>
      <w:r w:rsidR="00E3726E">
        <w:rPr>
          <w:rFonts w:ascii="Arial" w:eastAsia="Times New Roman" w:hAnsi="Arial" w:cs="Arial"/>
          <w:sz w:val="24"/>
          <w:szCs w:val="24"/>
          <w:lang w:eastAsia="pl-PL"/>
        </w:rPr>
        <w:t xml:space="preserve">projekty, </w:t>
      </w:r>
      <w:proofErr w:type="spellStart"/>
      <w:r w:rsidR="001432BF">
        <w:rPr>
          <w:rFonts w:ascii="Arial" w:eastAsia="Times New Roman" w:hAnsi="Arial" w:cs="Arial"/>
          <w:sz w:val="24"/>
          <w:szCs w:val="24"/>
          <w:lang w:eastAsia="pl-PL"/>
        </w:rPr>
        <w:t>stwiorb</w:t>
      </w:r>
      <w:proofErr w:type="spellEnd"/>
      <w:r>
        <w:rPr>
          <w:rFonts w:ascii="Arial" w:eastAsia="Times New Roman" w:hAnsi="Arial" w:cs="Arial"/>
          <w:sz w:val="24"/>
          <w:szCs w:val="24"/>
          <w:lang w:eastAsia="pl-PL"/>
        </w:rPr>
        <w:t>, przedmiar</w:t>
      </w:r>
      <w:r w:rsidR="001432BF">
        <w:rPr>
          <w:rFonts w:ascii="Arial" w:eastAsia="Times New Roman" w:hAnsi="Arial" w:cs="Arial"/>
          <w:sz w:val="24"/>
          <w:szCs w:val="24"/>
          <w:lang w:eastAsia="pl-PL"/>
        </w:rPr>
        <w:t>)</w:t>
      </w:r>
    </w:p>
    <w:p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6574BE">
      <w:footerReference w:type="default" r:id="rId17"/>
      <w:headerReference w:type="first" r:id="rId18"/>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CB" w:rsidRDefault="001536CB" w:rsidP="007217FD">
      <w:r>
        <w:separator/>
      </w:r>
    </w:p>
  </w:endnote>
  <w:endnote w:type="continuationSeparator" w:id="0">
    <w:p w:rsidR="001536CB" w:rsidRDefault="001536CB"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28"/>
      </w:rPr>
      <w:id w:val="-1923397299"/>
      <w:docPartObj>
        <w:docPartGallery w:val="Page Numbers (Bottom of Page)"/>
        <w:docPartUnique/>
      </w:docPartObj>
    </w:sdtPr>
    <w:sdtEndPr>
      <w:rPr>
        <w:rFonts w:ascii="Arial Narrow" w:hAnsi="Arial Narrow"/>
        <w:sz w:val="24"/>
        <w:szCs w:val="22"/>
      </w:rPr>
    </w:sdtEndPr>
    <w:sdtContent>
      <w:p w:rsidR="0083613A" w:rsidRPr="00AC3878" w:rsidRDefault="0083613A" w:rsidP="005306BB">
        <w:pPr>
          <w:pStyle w:val="Stopka"/>
          <w:jc w:val="center"/>
          <w:rPr>
            <w:rFonts w:ascii="Arial Narrow" w:eastAsiaTheme="majorEastAsia" w:hAnsi="Arial Narrow" w:cstheme="majorBidi"/>
            <w:sz w:val="24"/>
          </w:rPr>
        </w:pPr>
        <w:r w:rsidRPr="00AC3878">
          <w:rPr>
            <w:rFonts w:ascii="Arial" w:eastAsiaTheme="majorEastAsia" w:hAnsi="Arial" w:cs="Arial"/>
            <w:szCs w:val="28"/>
          </w:rPr>
          <w:t>Znak sprawy: RI.271.1.5.2023.MW</w:t>
        </w:r>
        <w:r w:rsidRPr="00AC3878">
          <w:rPr>
            <w:rFonts w:asciiTheme="majorHAnsi" w:eastAsiaTheme="majorEastAsia" w:hAnsiTheme="majorHAnsi" w:cstheme="majorBidi"/>
            <w:szCs w:val="28"/>
          </w:rPr>
          <w:t xml:space="preserve"> </w:t>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32"/>
            <w:szCs w:val="28"/>
          </w:rPr>
          <w:tab/>
        </w:r>
        <w:r w:rsidRPr="00AC3878">
          <w:rPr>
            <w:rFonts w:asciiTheme="majorHAnsi" w:eastAsiaTheme="majorEastAsia" w:hAnsiTheme="majorHAnsi" w:cstheme="majorBidi"/>
            <w:sz w:val="28"/>
            <w:szCs w:val="28"/>
          </w:rPr>
          <w:tab/>
        </w:r>
        <w:r w:rsidRPr="00AC3878">
          <w:rPr>
            <w:rFonts w:ascii="Arial" w:eastAsiaTheme="majorEastAsia" w:hAnsi="Arial" w:cs="Arial"/>
          </w:rPr>
          <w:t xml:space="preserve">str. </w:t>
        </w:r>
        <w:r w:rsidRPr="00AC3878">
          <w:rPr>
            <w:rFonts w:ascii="Arial" w:eastAsiaTheme="minorEastAsia" w:hAnsi="Arial" w:cs="Arial"/>
          </w:rPr>
          <w:fldChar w:fldCharType="begin"/>
        </w:r>
        <w:r w:rsidRPr="00AC3878">
          <w:rPr>
            <w:rFonts w:ascii="Arial" w:hAnsi="Arial" w:cs="Arial"/>
          </w:rPr>
          <w:instrText>PAGE    \* MERGEFORMAT</w:instrText>
        </w:r>
        <w:r w:rsidRPr="00AC3878">
          <w:rPr>
            <w:rFonts w:ascii="Arial" w:eastAsiaTheme="minorEastAsia" w:hAnsi="Arial" w:cs="Arial"/>
          </w:rPr>
          <w:fldChar w:fldCharType="separate"/>
        </w:r>
        <w:r w:rsidR="00015220" w:rsidRPr="00015220">
          <w:rPr>
            <w:rFonts w:ascii="Arial" w:eastAsiaTheme="majorEastAsia" w:hAnsi="Arial" w:cs="Arial"/>
            <w:noProof/>
          </w:rPr>
          <w:t>19</w:t>
        </w:r>
        <w:r w:rsidRPr="00AC3878">
          <w:rPr>
            <w:rFonts w:ascii="Arial" w:eastAsiaTheme="majorEastAsia" w:hAnsi="Arial" w:cs="Arial"/>
          </w:rPr>
          <w:fldChar w:fldCharType="end"/>
        </w:r>
      </w:p>
    </w:sdtContent>
  </w:sdt>
  <w:p w:rsidR="0083613A" w:rsidRDefault="008361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CB" w:rsidRDefault="001536CB" w:rsidP="007217FD">
      <w:r>
        <w:separator/>
      </w:r>
    </w:p>
  </w:footnote>
  <w:footnote w:type="continuationSeparator" w:id="0">
    <w:p w:rsidR="001536CB" w:rsidRDefault="001536CB" w:rsidP="007217FD">
      <w:r>
        <w:continuationSeparator/>
      </w:r>
    </w:p>
  </w:footnote>
  <w:footnote w:id="1">
    <w:p w:rsidR="0083613A" w:rsidRDefault="0083613A">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3A" w:rsidRDefault="0083613A" w:rsidP="00953453">
    <w:pPr>
      <w:pStyle w:val="Nagwek"/>
      <w:jc w:val="center"/>
    </w:pPr>
    <w:r>
      <w:rPr>
        <w:noProof/>
        <w:lang w:eastAsia="pl-PL"/>
      </w:rPr>
      <w:drawing>
        <wp:inline distT="0" distB="0" distL="0" distR="0" wp14:anchorId="1BA6FF02" wp14:editId="7091B33C">
          <wp:extent cx="5759450" cy="4883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88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1964B61"/>
    <w:multiLevelType w:val="hybridMultilevel"/>
    <w:tmpl w:val="03786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9"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1"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9"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59"/>
  </w:num>
  <w:num w:numId="5">
    <w:abstractNumId w:val="7"/>
  </w:num>
  <w:num w:numId="6">
    <w:abstractNumId w:val="6"/>
  </w:num>
  <w:num w:numId="7">
    <w:abstractNumId w:val="51"/>
  </w:num>
  <w:num w:numId="8">
    <w:abstractNumId w:val="13"/>
  </w:num>
  <w:num w:numId="9">
    <w:abstractNumId w:val="8"/>
  </w:num>
  <w:num w:numId="10">
    <w:abstractNumId w:val="10"/>
  </w:num>
  <w:num w:numId="11">
    <w:abstractNumId w:val="11"/>
  </w:num>
  <w:num w:numId="12">
    <w:abstractNumId w:val="48"/>
  </w:num>
  <w:num w:numId="13">
    <w:abstractNumId w:val="47"/>
  </w:num>
  <w:num w:numId="14">
    <w:abstractNumId w:val="5"/>
  </w:num>
  <w:num w:numId="15">
    <w:abstractNumId w:val="41"/>
  </w:num>
  <w:num w:numId="16">
    <w:abstractNumId w:val="31"/>
  </w:num>
  <w:num w:numId="17">
    <w:abstractNumId w:val="58"/>
  </w:num>
  <w:num w:numId="18">
    <w:abstractNumId w:val="19"/>
  </w:num>
  <w:num w:numId="19">
    <w:abstractNumId w:val="38"/>
  </w:num>
  <w:num w:numId="20">
    <w:abstractNumId w:val="4"/>
  </w:num>
  <w:num w:numId="21">
    <w:abstractNumId w:val="3"/>
  </w:num>
  <w:num w:numId="22">
    <w:abstractNumId w:val="1"/>
  </w:num>
  <w:num w:numId="23">
    <w:abstractNumId w:val="57"/>
  </w:num>
  <w:num w:numId="24">
    <w:abstractNumId w:val="32"/>
  </w:num>
  <w:num w:numId="25">
    <w:abstractNumId w:val="49"/>
  </w:num>
  <w:num w:numId="26">
    <w:abstractNumId w:val="30"/>
  </w:num>
  <w:num w:numId="27">
    <w:abstractNumId w:val="45"/>
  </w:num>
  <w:num w:numId="28">
    <w:abstractNumId w:val="25"/>
  </w:num>
  <w:num w:numId="29">
    <w:abstractNumId w:val="40"/>
  </w:num>
  <w:num w:numId="30">
    <w:abstractNumId w:val="17"/>
  </w:num>
  <w:num w:numId="31">
    <w:abstractNumId w:val="29"/>
  </w:num>
  <w:num w:numId="32">
    <w:abstractNumId w:val="52"/>
  </w:num>
  <w:num w:numId="33">
    <w:abstractNumId w:val="42"/>
  </w:num>
  <w:num w:numId="34">
    <w:abstractNumId w:val="27"/>
  </w:num>
  <w:num w:numId="35">
    <w:abstractNumId w:val="44"/>
  </w:num>
  <w:num w:numId="36">
    <w:abstractNumId w:val="15"/>
  </w:num>
  <w:num w:numId="37">
    <w:abstractNumId w:val="12"/>
  </w:num>
  <w:num w:numId="38">
    <w:abstractNumId w:val="56"/>
  </w:num>
  <w:num w:numId="39">
    <w:abstractNumId w:val="46"/>
  </w:num>
  <w:num w:numId="40">
    <w:abstractNumId w:val="37"/>
  </w:num>
  <w:num w:numId="41">
    <w:abstractNumId w:val="43"/>
  </w:num>
  <w:num w:numId="42">
    <w:abstractNumId w:val="55"/>
  </w:num>
  <w:num w:numId="43">
    <w:abstractNumId w:val="39"/>
  </w:num>
  <w:num w:numId="44">
    <w:abstractNumId w:val="35"/>
  </w:num>
  <w:num w:numId="45">
    <w:abstractNumId w:val="14"/>
  </w:num>
  <w:num w:numId="46">
    <w:abstractNumId w:val="28"/>
  </w:num>
  <w:num w:numId="47">
    <w:abstractNumId w:val="18"/>
  </w:num>
  <w:num w:numId="48">
    <w:abstractNumId w:val="50"/>
  </w:num>
  <w:num w:numId="49">
    <w:abstractNumId w:val="22"/>
  </w:num>
  <w:num w:numId="50">
    <w:abstractNumId w:val="24"/>
  </w:num>
  <w:num w:numId="51">
    <w:abstractNumId w:val="2"/>
  </w:num>
  <w:num w:numId="52">
    <w:abstractNumId w:val="21"/>
  </w:num>
  <w:num w:numId="53">
    <w:abstractNumId w:val="9"/>
  </w:num>
  <w:num w:numId="54">
    <w:abstractNumId w:val="16"/>
  </w:num>
  <w:num w:numId="55">
    <w:abstractNumId w:val="23"/>
  </w:num>
  <w:num w:numId="56">
    <w:abstractNumId w:val="20"/>
  </w:num>
  <w:num w:numId="57">
    <w:abstractNumId w:val="54"/>
  </w:num>
  <w:num w:numId="58">
    <w:abstractNumId w:val="36"/>
  </w:num>
  <w:num w:numId="59">
    <w:abstractNumId w:val="53"/>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076FB"/>
    <w:rsid w:val="0001135F"/>
    <w:rsid w:val="0001155A"/>
    <w:rsid w:val="00011D9A"/>
    <w:rsid w:val="00014707"/>
    <w:rsid w:val="00015220"/>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274F"/>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6CB"/>
    <w:rsid w:val="00153D4C"/>
    <w:rsid w:val="00154F49"/>
    <w:rsid w:val="00162BD3"/>
    <w:rsid w:val="00162DB1"/>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61AB"/>
    <w:rsid w:val="002678B0"/>
    <w:rsid w:val="002715C5"/>
    <w:rsid w:val="002717C7"/>
    <w:rsid w:val="00273725"/>
    <w:rsid w:val="00273FE9"/>
    <w:rsid w:val="0027462D"/>
    <w:rsid w:val="002765A1"/>
    <w:rsid w:val="002766EB"/>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A99"/>
    <w:rsid w:val="00381E11"/>
    <w:rsid w:val="003870DA"/>
    <w:rsid w:val="00397269"/>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5D5"/>
    <w:rsid w:val="00450F26"/>
    <w:rsid w:val="00451414"/>
    <w:rsid w:val="00453526"/>
    <w:rsid w:val="0045395F"/>
    <w:rsid w:val="004542EB"/>
    <w:rsid w:val="004547DB"/>
    <w:rsid w:val="00455043"/>
    <w:rsid w:val="00455E15"/>
    <w:rsid w:val="00460DAC"/>
    <w:rsid w:val="00465C93"/>
    <w:rsid w:val="00465F9E"/>
    <w:rsid w:val="00470167"/>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5C8F"/>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9AE"/>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432F0"/>
    <w:rsid w:val="0074520F"/>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9283C"/>
    <w:rsid w:val="007935B1"/>
    <w:rsid w:val="0079481B"/>
    <w:rsid w:val="007952AE"/>
    <w:rsid w:val="007961D1"/>
    <w:rsid w:val="00797CBD"/>
    <w:rsid w:val="007A30CD"/>
    <w:rsid w:val="007B09CB"/>
    <w:rsid w:val="007B481B"/>
    <w:rsid w:val="007B4DEA"/>
    <w:rsid w:val="007B4FB1"/>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1465C"/>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3613A"/>
    <w:rsid w:val="0084041F"/>
    <w:rsid w:val="0084310E"/>
    <w:rsid w:val="00843C8B"/>
    <w:rsid w:val="00846EA7"/>
    <w:rsid w:val="00857067"/>
    <w:rsid w:val="008626D4"/>
    <w:rsid w:val="00864814"/>
    <w:rsid w:val="00864DAE"/>
    <w:rsid w:val="00865304"/>
    <w:rsid w:val="00865E13"/>
    <w:rsid w:val="0086614E"/>
    <w:rsid w:val="00867901"/>
    <w:rsid w:val="00870329"/>
    <w:rsid w:val="008723A0"/>
    <w:rsid w:val="008739A3"/>
    <w:rsid w:val="00874F50"/>
    <w:rsid w:val="0087612F"/>
    <w:rsid w:val="00876D5A"/>
    <w:rsid w:val="008839DF"/>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47EF"/>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453"/>
    <w:rsid w:val="0095380F"/>
    <w:rsid w:val="00953B7D"/>
    <w:rsid w:val="009552DA"/>
    <w:rsid w:val="00956078"/>
    <w:rsid w:val="009564AD"/>
    <w:rsid w:val="00957DE2"/>
    <w:rsid w:val="009608BB"/>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48E9"/>
    <w:rsid w:val="00A16735"/>
    <w:rsid w:val="00A16DCD"/>
    <w:rsid w:val="00A171F2"/>
    <w:rsid w:val="00A233DB"/>
    <w:rsid w:val="00A24400"/>
    <w:rsid w:val="00A26489"/>
    <w:rsid w:val="00A3112A"/>
    <w:rsid w:val="00A34B52"/>
    <w:rsid w:val="00A36CD3"/>
    <w:rsid w:val="00A374F0"/>
    <w:rsid w:val="00A40652"/>
    <w:rsid w:val="00A41A9C"/>
    <w:rsid w:val="00A43DEB"/>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3878"/>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3D44"/>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067"/>
    <w:rsid w:val="00E05E17"/>
    <w:rsid w:val="00E1120A"/>
    <w:rsid w:val="00E117C6"/>
    <w:rsid w:val="00E11889"/>
    <w:rsid w:val="00E125C8"/>
    <w:rsid w:val="00E12BDF"/>
    <w:rsid w:val="00E134F5"/>
    <w:rsid w:val="00E13B36"/>
    <w:rsid w:val="00E142B3"/>
    <w:rsid w:val="00E156AA"/>
    <w:rsid w:val="00E16C05"/>
    <w:rsid w:val="00E261F9"/>
    <w:rsid w:val="00E3370B"/>
    <w:rsid w:val="00E33BDB"/>
    <w:rsid w:val="00E3726E"/>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542C"/>
    <w:rsid w:val="00ED6D20"/>
    <w:rsid w:val="00EE4CE7"/>
    <w:rsid w:val="00EE51E6"/>
    <w:rsid w:val="00EE70A8"/>
    <w:rsid w:val="00EF45E7"/>
    <w:rsid w:val="00F00B16"/>
    <w:rsid w:val="00F00CC9"/>
    <w:rsid w:val="00F01613"/>
    <w:rsid w:val="00F02343"/>
    <w:rsid w:val="00F04B6B"/>
    <w:rsid w:val="00F06D47"/>
    <w:rsid w:val="00F07436"/>
    <w:rsid w:val="00F10CF1"/>
    <w:rsid w:val="00F11E64"/>
    <w:rsid w:val="00F1339D"/>
    <w:rsid w:val="00F14AF0"/>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41DA-50BB-4DC7-807E-47DE8F5B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9069</Words>
  <Characters>54415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cp:revision>
  <cp:lastPrinted>2023-05-25T08:01:00Z</cp:lastPrinted>
  <dcterms:created xsi:type="dcterms:W3CDTF">2023-06-05T12:43:00Z</dcterms:created>
  <dcterms:modified xsi:type="dcterms:W3CDTF">2023-06-05T12:44:00Z</dcterms:modified>
</cp:coreProperties>
</file>