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937EC5" w:rsidRDefault="00CB7275" w:rsidP="00CF5B93">
            <w:pPr>
              <w:rPr>
                <w:rFonts w:cs="Times New Roman"/>
                <w:b/>
              </w:rPr>
            </w:pPr>
            <w:bookmarkStart w:id="0" w:name="_Hlk12607021"/>
            <w:r w:rsidRPr="00937EC5">
              <w:rPr>
                <w:rFonts w:cs="Times New Roman"/>
                <w:b/>
              </w:rPr>
              <w:t>ZP/220/</w:t>
            </w:r>
            <w:r w:rsidR="00CF5B93">
              <w:rPr>
                <w:rFonts w:cs="Times New Roman"/>
                <w:b/>
              </w:rPr>
              <w:t>51</w:t>
            </w:r>
            <w:r w:rsidRPr="00937EC5">
              <w:rPr>
                <w:rFonts w:cs="Times New Roman"/>
                <w:b/>
              </w:rPr>
              <w:t>/</w:t>
            </w:r>
            <w:r w:rsidR="009B0C41" w:rsidRPr="00937EC5">
              <w:rPr>
                <w:rFonts w:cs="Times New Roman"/>
                <w:b/>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B96BF9" w:rsidRDefault="00CF5B93" w:rsidP="00833CD1">
      <w:pPr>
        <w:spacing w:after="0" w:line="240" w:lineRule="auto"/>
        <w:jc w:val="both"/>
        <w:rPr>
          <w:rFonts w:ascii="Times New Roman" w:hAnsi="Times New Roman" w:cs="Times New Roman"/>
          <w:sz w:val="20"/>
          <w:szCs w:val="20"/>
        </w:rPr>
      </w:pPr>
      <w:r w:rsidRPr="00D112A6">
        <w:rPr>
          <w:rFonts w:ascii="Calibri" w:hAnsi="Calibri"/>
          <w:i/>
          <w:sz w:val="20"/>
          <w:szCs w:val="20"/>
        </w:rPr>
        <w:t xml:space="preserve">Dotyczy: postępowania o udzielenie zamówienia publicznego na </w:t>
      </w:r>
      <w:r w:rsidRPr="00D112A6">
        <w:rPr>
          <w:rFonts w:ascii="Calibri" w:hAnsi="Calibri"/>
          <w:bCs/>
          <w:i/>
          <w:sz w:val="20"/>
          <w:szCs w:val="20"/>
        </w:rPr>
        <w:t>stworzenie oprogramowania komputerowego do obsługi Krajowego Rejestru Operacji Naczyniowych wraz z usługą rocznego serwisu i nadzoru autorskiego.</w:t>
      </w:r>
      <w:r w:rsidR="009A7678" w:rsidRPr="00B96BF9">
        <w:rPr>
          <w:rFonts w:ascii="Times New Roman" w:hAnsi="Times New Roman" w:cs="Times New Roman"/>
          <w:sz w:val="20"/>
          <w:szCs w:val="20"/>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9B0C41" w:rsidRDefault="009B0C41" w:rsidP="00833CD1">
      <w:pPr>
        <w:tabs>
          <w:tab w:val="left" w:pos="142"/>
        </w:tabs>
        <w:spacing w:after="0" w:line="240" w:lineRule="auto"/>
        <w:jc w:val="center"/>
        <w:rPr>
          <w:rFonts w:ascii="Times New Roman" w:hAnsi="Times New Roman" w:cs="Times New Roman"/>
          <w:b/>
          <w:sz w:val="20"/>
          <w:szCs w:val="20"/>
          <w:u w:val="single"/>
        </w:rPr>
      </w:pPr>
    </w:p>
    <w:p w:rsidR="005A506C" w:rsidRPr="00937EC5" w:rsidRDefault="00281F3D" w:rsidP="00833CD1">
      <w:pPr>
        <w:tabs>
          <w:tab w:val="left" w:pos="142"/>
        </w:tabs>
        <w:spacing w:after="0" w:line="240" w:lineRule="auto"/>
        <w:jc w:val="center"/>
        <w:rPr>
          <w:rFonts w:cs="Times New Roman"/>
          <w:b/>
          <w:sz w:val="24"/>
          <w:szCs w:val="24"/>
          <w:u w:val="single"/>
        </w:rPr>
      </w:pPr>
      <w:r w:rsidRPr="00937EC5">
        <w:rPr>
          <w:rFonts w:cs="Times New Roman"/>
          <w:b/>
          <w:sz w:val="24"/>
          <w:szCs w:val="24"/>
          <w:u w:val="single"/>
        </w:rPr>
        <w:t>ZAWIADOMIENIE  O  ROZSTRZYGNIĘCIU POSTĘPOWANIA</w:t>
      </w:r>
    </w:p>
    <w:p w:rsidR="00281F3D" w:rsidRPr="00937EC5" w:rsidRDefault="00281F3D" w:rsidP="00833CD1">
      <w:pPr>
        <w:tabs>
          <w:tab w:val="left" w:pos="142"/>
        </w:tabs>
        <w:spacing w:after="0" w:line="240" w:lineRule="auto"/>
        <w:jc w:val="center"/>
        <w:rPr>
          <w:rFonts w:cs="Times New Roman"/>
          <w:b/>
          <w:sz w:val="20"/>
          <w:szCs w:val="20"/>
          <w:u w:val="single"/>
        </w:rPr>
      </w:pPr>
    </w:p>
    <w:p w:rsidR="009B0C41" w:rsidRPr="00937EC5" w:rsidRDefault="009B0C41" w:rsidP="00833CD1">
      <w:pPr>
        <w:tabs>
          <w:tab w:val="left" w:pos="142"/>
        </w:tabs>
        <w:spacing w:after="0" w:line="240" w:lineRule="auto"/>
        <w:jc w:val="center"/>
        <w:rPr>
          <w:rFonts w:cs="Times New Roman"/>
          <w:b/>
          <w:sz w:val="20"/>
          <w:szCs w:val="20"/>
          <w:u w:val="single"/>
        </w:rPr>
      </w:pPr>
    </w:p>
    <w:p w:rsidR="00281F3D" w:rsidRPr="00676BD6" w:rsidRDefault="00281F3D" w:rsidP="00833CD1">
      <w:pPr>
        <w:tabs>
          <w:tab w:val="left" w:pos="142"/>
        </w:tabs>
        <w:autoSpaceDE w:val="0"/>
        <w:autoSpaceDN w:val="0"/>
        <w:adjustRightInd w:val="0"/>
        <w:spacing w:after="0" w:line="240" w:lineRule="auto"/>
        <w:jc w:val="both"/>
        <w:rPr>
          <w:rFonts w:cs="Times New Roman"/>
          <w:sz w:val="20"/>
          <w:szCs w:val="20"/>
        </w:rPr>
      </w:pPr>
      <w:r w:rsidRPr="00676BD6">
        <w:rPr>
          <w:rFonts w:cs="Times New Roman"/>
          <w:sz w:val="20"/>
          <w:szCs w:val="20"/>
        </w:rPr>
        <w:t xml:space="preserve">Na podstawie art. 92 ustawy z dnia 29 stycznia 2004 r. Prawo Zamówień Publicznych Zamawiający </w:t>
      </w:r>
      <w:r w:rsidRPr="00676BD6">
        <w:rPr>
          <w:rFonts w:cs="Times New Roman"/>
          <w:i/>
          <w:sz w:val="20"/>
          <w:szCs w:val="20"/>
        </w:rPr>
        <w:t>(dalej „PZP”)</w:t>
      </w:r>
      <w:r w:rsidRPr="00676BD6">
        <w:rPr>
          <w:rFonts w:cs="Times New Roman"/>
          <w:sz w:val="20"/>
          <w:szCs w:val="20"/>
        </w:rPr>
        <w:t xml:space="preserve"> zawiadamia, że dokonano rozstrzygnięcia w/w postępowania.</w:t>
      </w:r>
    </w:p>
    <w:p w:rsidR="00281F3D" w:rsidRPr="00676BD6" w:rsidRDefault="00281F3D" w:rsidP="00833CD1">
      <w:pPr>
        <w:spacing w:after="0" w:line="240" w:lineRule="auto"/>
        <w:rPr>
          <w:rFonts w:cs="Times New Roman"/>
          <w:sz w:val="20"/>
          <w:szCs w:val="20"/>
        </w:rPr>
      </w:pPr>
    </w:p>
    <w:p w:rsidR="00F46C77" w:rsidRPr="00676BD6" w:rsidRDefault="00F46C77" w:rsidP="00833CD1">
      <w:pPr>
        <w:spacing w:after="0" w:line="240" w:lineRule="auto"/>
        <w:rPr>
          <w:rFonts w:cs="Times New Roman"/>
          <w:sz w:val="20"/>
          <w:szCs w:val="20"/>
        </w:rPr>
        <w:sectPr w:rsidR="00F46C77" w:rsidRPr="00676BD6"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676BD6" w:rsidRDefault="005A506C" w:rsidP="005A506C">
      <w:pPr>
        <w:tabs>
          <w:tab w:val="left" w:pos="1590"/>
        </w:tabs>
        <w:autoSpaceDE w:val="0"/>
        <w:autoSpaceDN w:val="0"/>
        <w:adjustRightInd w:val="0"/>
        <w:spacing w:after="0" w:line="240" w:lineRule="auto"/>
        <w:jc w:val="center"/>
        <w:rPr>
          <w:rFonts w:cs="Times New Roman"/>
          <w:b/>
          <w:sz w:val="20"/>
          <w:szCs w:val="20"/>
        </w:rPr>
      </w:pPr>
      <w:bookmarkStart w:id="2" w:name="_Hlk12607031"/>
    </w:p>
    <w:p w:rsidR="00B96BF9" w:rsidRPr="00B96BF9" w:rsidRDefault="00B96BF9" w:rsidP="00B96BF9">
      <w:pPr>
        <w:spacing w:line="240" w:lineRule="auto"/>
        <w:rPr>
          <w:sz w:val="20"/>
          <w:szCs w:val="20"/>
        </w:rPr>
      </w:pPr>
      <w:r w:rsidRPr="00B96BF9">
        <w:rPr>
          <w:sz w:val="20"/>
          <w:szCs w:val="20"/>
        </w:rPr>
        <w:t>a) Nazwy (firmy), siedziby i adresy wykonawców, którzy złożyli oferty:</w:t>
      </w:r>
    </w:p>
    <w:p w:rsidR="00B11A60" w:rsidRPr="00B11A60" w:rsidRDefault="00B96BF9" w:rsidP="00B11A60">
      <w:pPr>
        <w:spacing w:line="240" w:lineRule="auto"/>
        <w:rPr>
          <w:b/>
          <w:sz w:val="20"/>
          <w:szCs w:val="20"/>
        </w:rPr>
      </w:pPr>
      <w:r w:rsidRPr="00B11A60">
        <w:rPr>
          <w:b/>
          <w:sz w:val="20"/>
          <w:szCs w:val="20"/>
        </w:rPr>
        <w:t xml:space="preserve">Oferta nr 1 – </w:t>
      </w:r>
      <w:proofErr w:type="spellStart"/>
      <w:r w:rsidR="00B11A60" w:rsidRPr="00B11A60">
        <w:rPr>
          <w:b/>
          <w:sz w:val="20"/>
          <w:szCs w:val="20"/>
        </w:rPr>
        <w:t>Mayeryn</w:t>
      </w:r>
      <w:proofErr w:type="spellEnd"/>
      <w:r w:rsidR="00B11A60" w:rsidRPr="00B11A60">
        <w:rPr>
          <w:b/>
          <w:sz w:val="20"/>
          <w:szCs w:val="20"/>
        </w:rPr>
        <w:t xml:space="preserve"> Sp. z o. o. </w:t>
      </w:r>
    </w:p>
    <w:p w:rsidR="00B11A60" w:rsidRPr="00B11A60" w:rsidRDefault="00B11A60" w:rsidP="00B11A60">
      <w:pPr>
        <w:spacing w:line="240" w:lineRule="auto"/>
        <w:rPr>
          <w:sz w:val="20"/>
          <w:szCs w:val="20"/>
        </w:rPr>
      </w:pPr>
      <w:r w:rsidRPr="00B11A60">
        <w:rPr>
          <w:sz w:val="20"/>
          <w:szCs w:val="20"/>
        </w:rPr>
        <w:t>Ul. Żurawia 6/12/766</w:t>
      </w:r>
    </w:p>
    <w:p w:rsidR="00B96BF9" w:rsidRPr="00B11A60" w:rsidRDefault="00B11A60" w:rsidP="00B11A60">
      <w:pPr>
        <w:spacing w:line="240" w:lineRule="auto"/>
        <w:rPr>
          <w:sz w:val="20"/>
          <w:szCs w:val="20"/>
        </w:rPr>
      </w:pPr>
      <w:r w:rsidRPr="00B11A60">
        <w:rPr>
          <w:sz w:val="20"/>
          <w:szCs w:val="20"/>
        </w:rPr>
        <w:t>00-503 Warszawa</w:t>
      </w:r>
    </w:p>
    <w:p w:rsidR="00B11A60" w:rsidRPr="00B11A60" w:rsidRDefault="00CF5B93" w:rsidP="00B11A60">
      <w:pPr>
        <w:spacing w:line="240" w:lineRule="auto"/>
        <w:rPr>
          <w:b/>
          <w:sz w:val="20"/>
          <w:szCs w:val="20"/>
        </w:rPr>
      </w:pPr>
      <w:r w:rsidRPr="00B11A60">
        <w:rPr>
          <w:b/>
          <w:sz w:val="20"/>
          <w:szCs w:val="20"/>
        </w:rPr>
        <w:t>Oferta nr 2 –</w:t>
      </w:r>
      <w:r w:rsidR="00B11A60" w:rsidRPr="00B11A60">
        <w:rPr>
          <w:b/>
          <w:sz w:val="20"/>
          <w:szCs w:val="20"/>
        </w:rPr>
        <w:t xml:space="preserve"> </w:t>
      </w:r>
      <w:proofErr w:type="spellStart"/>
      <w:r w:rsidR="00B11A60" w:rsidRPr="00B11A60">
        <w:rPr>
          <w:b/>
          <w:sz w:val="20"/>
          <w:szCs w:val="20"/>
        </w:rPr>
        <w:t>QBeeQ</w:t>
      </w:r>
      <w:proofErr w:type="spellEnd"/>
      <w:r w:rsidR="00B11A60" w:rsidRPr="00B11A60">
        <w:rPr>
          <w:b/>
          <w:sz w:val="20"/>
          <w:szCs w:val="20"/>
        </w:rPr>
        <w:t xml:space="preserve"> – Michał Becker </w:t>
      </w:r>
    </w:p>
    <w:p w:rsidR="00B11A60" w:rsidRPr="00B11A60" w:rsidRDefault="00B11A60" w:rsidP="00B11A60">
      <w:pPr>
        <w:spacing w:line="240" w:lineRule="auto"/>
        <w:rPr>
          <w:sz w:val="20"/>
          <w:szCs w:val="20"/>
        </w:rPr>
      </w:pPr>
      <w:r w:rsidRPr="00B11A60">
        <w:rPr>
          <w:sz w:val="20"/>
          <w:szCs w:val="20"/>
        </w:rPr>
        <w:t>Ul. Księdza Kardynała Stefana Wyszyńskiego 14 lok. 1.2</w:t>
      </w:r>
    </w:p>
    <w:p w:rsidR="00CF5B93" w:rsidRPr="00B11A60" w:rsidRDefault="00B11A60" w:rsidP="00B11A60">
      <w:pPr>
        <w:spacing w:line="240" w:lineRule="auto"/>
        <w:rPr>
          <w:b/>
          <w:sz w:val="20"/>
          <w:szCs w:val="20"/>
        </w:rPr>
      </w:pPr>
      <w:r w:rsidRPr="00B11A60">
        <w:rPr>
          <w:sz w:val="20"/>
          <w:szCs w:val="20"/>
        </w:rPr>
        <w:t>70-200 Szczecin</w:t>
      </w:r>
    </w:p>
    <w:p w:rsidR="00B11A60" w:rsidRPr="00B11A60" w:rsidRDefault="00CF5B93" w:rsidP="00B11A60">
      <w:pPr>
        <w:spacing w:line="240" w:lineRule="auto"/>
        <w:rPr>
          <w:b/>
          <w:sz w:val="20"/>
          <w:szCs w:val="20"/>
        </w:rPr>
      </w:pPr>
      <w:r w:rsidRPr="00B11A60">
        <w:rPr>
          <w:b/>
          <w:sz w:val="20"/>
          <w:szCs w:val="20"/>
        </w:rPr>
        <w:t>Oferta nr 3 –</w:t>
      </w:r>
      <w:r w:rsidR="00B11A60" w:rsidRPr="00B11A60">
        <w:rPr>
          <w:b/>
          <w:sz w:val="20"/>
          <w:szCs w:val="20"/>
        </w:rPr>
        <w:t xml:space="preserve"> ALBIT SOFTWARE Sp. z o. o. </w:t>
      </w:r>
    </w:p>
    <w:p w:rsidR="00B11A60" w:rsidRPr="00B11A60" w:rsidRDefault="00B11A60" w:rsidP="00B11A60">
      <w:pPr>
        <w:spacing w:line="240" w:lineRule="auto"/>
        <w:rPr>
          <w:sz w:val="20"/>
          <w:szCs w:val="20"/>
        </w:rPr>
      </w:pPr>
      <w:r w:rsidRPr="00B11A60">
        <w:rPr>
          <w:sz w:val="20"/>
          <w:szCs w:val="20"/>
        </w:rPr>
        <w:t>Ul. Olszewskiego 6</w:t>
      </w:r>
    </w:p>
    <w:p w:rsidR="00CF5B93" w:rsidRDefault="00B11A60" w:rsidP="00B11A60">
      <w:pPr>
        <w:spacing w:line="240" w:lineRule="auto"/>
        <w:rPr>
          <w:sz w:val="20"/>
          <w:szCs w:val="20"/>
        </w:rPr>
      </w:pPr>
      <w:r w:rsidRPr="00B11A60">
        <w:rPr>
          <w:sz w:val="20"/>
          <w:szCs w:val="20"/>
        </w:rPr>
        <w:t>25-663 Kielce</w:t>
      </w:r>
    </w:p>
    <w:p w:rsidR="00560D6E" w:rsidRPr="00560D6E" w:rsidRDefault="00560D6E" w:rsidP="00560D6E">
      <w:pPr>
        <w:rPr>
          <w:rFonts w:cstheme="minorHAnsi"/>
          <w:b/>
          <w:sz w:val="20"/>
          <w:szCs w:val="20"/>
        </w:rPr>
      </w:pPr>
      <w:r w:rsidRPr="00B11A60">
        <w:rPr>
          <w:b/>
          <w:sz w:val="20"/>
          <w:szCs w:val="20"/>
        </w:rPr>
        <w:t xml:space="preserve">Oferta nr </w:t>
      </w:r>
      <w:r>
        <w:rPr>
          <w:b/>
          <w:sz w:val="20"/>
          <w:szCs w:val="20"/>
        </w:rPr>
        <w:t>4</w:t>
      </w:r>
      <w:r w:rsidRPr="00B11A60">
        <w:rPr>
          <w:b/>
          <w:sz w:val="20"/>
          <w:szCs w:val="20"/>
        </w:rPr>
        <w:t xml:space="preserve"> – </w:t>
      </w:r>
      <w:r w:rsidRPr="00560D6E">
        <w:rPr>
          <w:rFonts w:cstheme="minorHAnsi"/>
          <w:b/>
          <w:sz w:val="20"/>
          <w:szCs w:val="20"/>
        </w:rPr>
        <w:t>Pretius</w:t>
      </w:r>
      <w:r>
        <w:rPr>
          <w:rFonts w:cstheme="minorHAnsi"/>
          <w:b/>
          <w:sz w:val="20"/>
          <w:szCs w:val="20"/>
        </w:rPr>
        <w:t xml:space="preserve"> - </w:t>
      </w:r>
      <w:r w:rsidRPr="00560D6E">
        <w:rPr>
          <w:rFonts w:cstheme="minorHAnsi"/>
          <w:b/>
          <w:sz w:val="20"/>
          <w:szCs w:val="20"/>
        </w:rPr>
        <w:t>BRAK POZOSTAŁYCH DANYCH</w:t>
      </w:r>
    </w:p>
    <w:p w:rsidR="00560D6E" w:rsidRPr="00560D6E" w:rsidRDefault="00560D6E" w:rsidP="00560D6E">
      <w:pPr>
        <w:spacing w:line="240" w:lineRule="auto"/>
        <w:rPr>
          <w:rFonts w:cstheme="minorHAnsi"/>
          <w:sz w:val="20"/>
          <w:szCs w:val="20"/>
        </w:rPr>
      </w:pPr>
      <w:r w:rsidRPr="00560D6E">
        <w:rPr>
          <w:rFonts w:cstheme="minorHAnsi"/>
          <w:sz w:val="20"/>
          <w:szCs w:val="20"/>
        </w:rPr>
        <w:t>OFERTA ŹLE ZASZYFROWANA – BEZ MOŻLIWOŚCI ODCZYTANIA PLIKÓW</w:t>
      </w:r>
    </w:p>
    <w:p w:rsidR="00B11A60" w:rsidRPr="00B11A60" w:rsidRDefault="00CF5B93" w:rsidP="00B11A60">
      <w:pPr>
        <w:spacing w:line="240" w:lineRule="auto"/>
        <w:rPr>
          <w:b/>
          <w:sz w:val="20"/>
          <w:szCs w:val="20"/>
        </w:rPr>
      </w:pPr>
      <w:r w:rsidRPr="00B11A60">
        <w:rPr>
          <w:b/>
          <w:sz w:val="20"/>
          <w:szCs w:val="20"/>
        </w:rPr>
        <w:t xml:space="preserve">Oferta nr </w:t>
      </w:r>
      <w:r w:rsidR="00560D6E">
        <w:rPr>
          <w:b/>
          <w:sz w:val="20"/>
          <w:szCs w:val="20"/>
        </w:rPr>
        <w:t>5</w:t>
      </w:r>
      <w:r w:rsidRPr="00B11A60">
        <w:rPr>
          <w:b/>
          <w:sz w:val="20"/>
          <w:szCs w:val="20"/>
        </w:rPr>
        <w:t xml:space="preserve"> –</w:t>
      </w:r>
      <w:r w:rsidR="00B11A60" w:rsidRPr="00B11A60">
        <w:rPr>
          <w:b/>
          <w:sz w:val="20"/>
          <w:szCs w:val="20"/>
        </w:rPr>
        <w:t xml:space="preserve"> Net PC Sp. z o. o. </w:t>
      </w:r>
    </w:p>
    <w:p w:rsidR="00B11A60" w:rsidRPr="00B11A60" w:rsidRDefault="00B11A60" w:rsidP="00B11A60">
      <w:pPr>
        <w:spacing w:line="240" w:lineRule="auto"/>
        <w:rPr>
          <w:sz w:val="20"/>
          <w:szCs w:val="20"/>
        </w:rPr>
      </w:pPr>
      <w:r w:rsidRPr="00B11A60">
        <w:rPr>
          <w:sz w:val="20"/>
          <w:szCs w:val="20"/>
        </w:rPr>
        <w:t>Ul. Gradowa 11</w:t>
      </w:r>
    </w:p>
    <w:p w:rsidR="00CF5B93" w:rsidRPr="00B11A60" w:rsidRDefault="00B11A60" w:rsidP="00B11A60">
      <w:pPr>
        <w:spacing w:line="240" w:lineRule="auto"/>
        <w:rPr>
          <w:sz w:val="20"/>
          <w:szCs w:val="20"/>
        </w:rPr>
      </w:pPr>
      <w:r w:rsidRPr="00B11A60">
        <w:rPr>
          <w:sz w:val="20"/>
          <w:szCs w:val="20"/>
        </w:rPr>
        <w:t>80-802 Gdańsk</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 xml:space="preserve">b) wykonawcy, którzy zostali wykluczeni z postępowania o udzielenie zamówienia </w:t>
      </w:r>
    </w:p>
    <w:p w:rsidR="00B96BF9" w:rsidRPr="00B96BF9" w:rsidRDefault="00B96BF9" w:rsidP="00B96BF9">
      <w:pPr>
        <w:spacing w:line="240" w:lineRule="auto"/>
        <w:rPr>
          <w:sz w:val="20"/>
          <w:szCs w:val="20"/>
        </w:rPr>
      </w:pPr>
      <w:r w:rsidRPr="00B96BF9">
        <w:rPr>
          <w:sz w:val="20"/>
          <w:szCs w:val="20"/>
        </w:rPr>
        <w:t xml:space="preserve">z postępowania  wykluczono 0 wykonawców </w:t>
      </w:r>
    </w:p>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c) wykonawcy, których oferty zostały odrzucone:</w:t>
      </w:r>
    </w:p>
    <w:p w:rsidR="00B96BF9" w:rsidRPr="00B96BF9" w:rsidRDefault="00B96BF9" w:rsidP="00B96BF9">
      <w:pPr>
        <w:spacing w:line="240" w:lineRule="auto"/>
        <w:rPr>
          <w:sz w:val="20"/>
          <w:szCs w:val="20"/>
        </w:rPr>
      </w:pPr>
      <w:r w:rsidRPr="00B96BF9">
        <w:rPr>
          <w:sz w:val="20"/>
          <w:szCs w:val="20"/>
        </w:rPr>
        <w:lastRenderedPageBreak/>
        <w:t>w postępowaniu odrzucono 0 ofert</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d) spośród ofert nie podlegających odrzuceniu za najkorzystniejszą ofertę została uznana oferta złożona przez wykonawcę:</w:t>
      </w:r>
    </w:p>
    <w:p w:rsidR="00560D6E" w:rsidRPr="00B11A60" w:rsidRDefault="00560D6E" w:rsidP="00560D6E">
      <w:pPr>
        <w:spacing w:line="240" w:lineRule="auto"/>
        <w:rPr>
          <w:b/>
          <w:sz w:val="20"/>
          <w:szCs w:val="20"/>
        </w:rPr>
      </w:pPr>
      <w:r w:rsidRPr="00B11A60">
        <w:rPr>
          <w:b/>
          <w:sz w:val="20"/>
          <w:szCs w:val="20"/>
        </w:rPr>
        <w:t xml:space="preserve">Oferta nr </w:t>
      </w:r>
      <w:r>
        <w:rPr>
          <w:b/>
          <w:sz w:val="20"/>
          <w:szCs w:val="20"/>
        </w:rPr>
        <w:t>5</w:t>
      </w:r>
      <w:r w:rsidRPr="00B11A60">
        <w:rPr>
          <w:b/>
          <w:sz w:val="20"/>
          <w:szCs w:val="20"/>
        </w:rPr>
        <w:t xml:space="preserve"> – Net PC Sp. z o. o. </w:t>
      </w:r>
    </w:p>
    <w:p w:rsidR="00560D6E" w:rsidRPr="00B11A60" w:rsidRDefault="00560D6E" w:rsidP="00560D6E">
      <w:pPr>
        <w:spacing w:line="240" w:lineRule="auto"/>
        <w:rPr>
          <w:sz w:val="20"/>
          <w:szCs w:val="20"/>
        </w:rPr>
      </w:pPr>
      <w:r w:rsidRPr="00B11A60">
        <w:rPr>
          <w:sz w:val="20"/>
          <w:szCs w:val="20"/>
        </w:rPr>
        <w:t>Ul. Gradowa 11</w:t>
      </w:r>
    </w:p>
    <w:p w:rsidR="00B96BF9" w:rsidRDefault="00560D6E" w:rsidP="00B96BF9">
      <w:pPr>
        <w:spacing w:line="240" w:lineRule="auto"/>
        <w:rPr>
          <w:sz w:val="20"/>
          <w:szCs w:val="20"/>
        </w:rPr>
      </w:pPr>
      <w:r w:rsidRPr="00B11A60">
        <w:rPr>
          <w:sz w:val="20"/>
          <w:szCs w:val="20"/>
        </w:rPr>
        <w:t>80-802 Gdańsk</w:t>
      </w:r>
    </w:p>
    <w:p w:rsidR="00B96BF9" w:rsidRDefault="00B96BF9" w:rsidP="00B96BF9">
      <w:pPr>
        <w:spacing w:line="240" w:lineRule="auto"/>
        <w:rPr>
          <w:sz w:val="20"/>
          <w:szCs w:val="20"/>
        </w:rPr>
      </w:pPr>
      <w:r w:rsidRPr="00B96BF9">
        <w:rPr>
          <w:sz w:val="20"/>
          <w:szCs w:val="20"/>
        </w:rPr>
        <w:t xml:space="preserve">Cena oferty brutto: </w:t>
      </w:r>
      <w:r w:rsidR="00560D6E">
        <w:rPr>
          <w:b/>
          <w:sz w:val="20"/>
          <w:szCs w:val="20"/>
        </w:rPr>
        <w:t>1</w:t>
      </w:r>
      <w:r w:rsidRPr="00B96BF9">
        <w:rPr>
          <w:b/>
          <w:sz w:val="20"/>
          <w:szCs w:val="20"/>
        </w:rPr>
        <w:t>7</w:t>
      </w:r>
      <w:r w:rsidR="00560D6E">
        <w:rPr>
          <w:b/>
          <w:sz w:val="20"/>
          <w:szCs w:val="20"/>
        </w:rPr>
        <w:t>5</w:t>
      </w:r>
      <w:r w:rsidRPr="00B96BF9">
        <w:rPr>
          <w:b/>
          <w:sz w:val="20"/>
          <w:szCs w:val="20"/>
        </w:rPr>
        <w:t>.8</w:t>
      </w:r>
      <w:r w:rsidR="00560D6E">
        <w:rPr>
          <w:b/>
          <w:sz w:val="20"/>
          <w:szCs w:val="20"/>
        </w:rPr>
        <w:t>90</w:t>
      </w:r>
      <w:r w:rsidRPr="00B96BF9">
        <w:rPr>
          <w:b/>
          <w:sz w:val="20"/>
          <w:szCs w:val="20"/>
        </w:rPr>
        <w:t>,</w:t>
      </w:r>
      <w:r w:rsidR="00560D6E">
        <w:rPr>
          <w:b/>
          <w:sz w:val="20"/>
          <w:szCs w:val="20"/>
        </w:rPr>
        <w:t>00</w:t>
      </w:r>
      <w:r w:rsidRPr="00B96BF9">
        <w:rPr>
          <w:b/>
          <w:sz w:val="20"/>
          <w:szCs w:val="20"/>
        </w:rPr>
        <w:t xml:space="preserve"> zł.</w:t>
      </w:r>
    </w:p>
    <w:p w:rsidR="00B96BF9" w:rsidRPr="00B96BF9" w:rsidRDefault="00B96BF9" w:rsidP="00560D6E">
      <w:pPr>
        <w:spacing w:line="240" w:lineRule="auto"/>
        <w:jc w:val="both"/>
        <w:rPr>
          <w:sz w:val="20"/>
          <w:szCs w:val="20"/>
        </w:rPr>
      </w:pPr>
      <w:r w:rsidRPr="00B96BF9">
        <w:rPr>
          <w:sz w:val="20"/>
          <w:szCs w:val="20"/>
        </w:rPr>
        <w:t>Uzasadnienie wyboru –</w:t>
      </w:r>
      <w:r w:rsidR="00560D6E">
        <w:rPr>
          <w:sz w:val="20"/>
          <w:szCs w:val="20"/>
        </w:rPr>
        <w:t xml:space="preserve"> </w:t>
      </w:r>
      <w:r w:rsidRPr="00B96BF9">
        <w:rPr>
          <w:sz w:val="20"/>
          <w:szCs w:val="20"/>
        </w:rPr>
        <w:t>oferta</w:t>
      </w:r>
      <w:r w:rsidR="00560D6E">
        <w:rPr>
          <w:sz w:val="20"/>
          <w:szCs w:val="20"/>
        </w:rPr>
        <w:t xml:space="preserve"> nr </w:t>
      </w:r>
      <w:r w:rsidR="009D3A71">
        <w:rPr>
          <w:sz w:val="20"/>
          <w:szCs w:val="20"/>
        </w:rPr>
        <w:t>5</w:t>
      </w:r>
      <w:bookmarkStart w:id="3" w:name="_GoBack"/>
      <w:bookmarkEnd w:id="3"/>
      <w:r w:rsidR="00560D6E">
        <w:rPr>
          <w:sz w:val="20"/>
          <w:szCs w:val="20"/>
        </w:rPr>
        <w:t xml:space="preserve"> uzyskała najkorzystniejszy bilans </w:t>
      </w:r>
      <w:r w:rsidR="00560D6E" w:rsidRPr="00560D6E">
        <w:rPr>
          <w:rFonts w:cs="Times New Roman"/>
          <w:sz w:val="20"/>
          <w:szCs w:val="20"/>
        </w:rPr>
        <w:t>przyjętych kryteriów obliczony według zasad jednakowych dla wszystkich ofert</w:t>
      </w:r>
      <w:r w:rsidRPr="00B96BF9">
        <w:rPr>
          <w:sz w:val="20"/>
          <w:szCs w:val="20"/>
        </w:rPr>
        <w:t>.</w:t>
      </w:r>
    </w:p>
    <w:p w:rsidR="00B96BF9" w:rsidRP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3857"/>
        <w:gridCol w:w="2269"/>
        <w:gridCol w:w="2126"/>
        <w:gridCol w:w="1268"/>
      </w:tblGrid>
      <w:tr w:rsidR="002F45D8" w:rsidRPr="00B96BF9" w:rsidTr="002F45D8">
        <w:trPr>
          <w:cantSplit/>
          <w:trHeight w:val="611"/>
        </w:trPr>
        <w:tc>
          <w:tcPr>
            <w:tcW w:w="330" w:type="pct"/>
            <w:tcBorders>
              <w:bottom w:val="single" w:sz="4" w:space="0" w:color="auto"/>
            </w:tcBorders>
          </w:tcPr>
          <w:p w:rsidR="002F45D8" w:rsidRPr="00B96BF9" w:rsidRDefault="002F45D8" w:rsidP="007B34A2">
            <w:pPr>
              <w:spacing w:line="240" w:lineRule="auto"/>
              <w:jc w:val="center"/>
              <w:rPr>
                <w:sz w:val="20"/>
                <w:szCs w:val="20"/>
              </w:rPr>
            </w:pPr>
            <w:r w:rsidRPr="00B96BF9">
              <w:rPr>
                <w:sz w:val="20"/>
                <w:szCs w:val="20"/>
              </w:rPr>
              <w:t>Nr oferty</w:t>
            </w:r>
          </w:p>
        </w:tc>
        <w:tc>
          <w:tcPr>
            <w:tcW w:w="1892" w:type="pct"/>
            <w:tcBorders>
              <w:bottom w:val="single" w:sz="4" w:space="0" w:color="auto"/>
            </w:tcBorders>
          </w:tcPr>
          <w:p w:rsidR="002F45D8" w:rsidRPr="00B96BF9" w:rsidRDefault="002F45D8" w:rsidP="007B34A2">
            <w:pPr>
              <w:spacing w:line="240" w:lineRule="auto"/>
              <w:jc w:val="center"/>
              <w:rPr>
                <w:sz w:val="20"/>
                <w:szCs w:val="20"/>
              </w:rPr>
            </w:pPr>
            <w:r w:rsidRPr="00B96BF9">
              <w:rPr>
                <w:sz w:val="20"/>
                <w:szCs w:val="20"/>
              </w:rPr>
              <w:t>Nazwa Wykonawcy</w:t>
            </w:r>
          </w:p>
        </w:tc>
        <w:tc>
          <w:tcPr>
            <w:tcW w:w="1113" w:type="pct"/>
            <w:tcBorders>
              <w:bottom w:val="single" w:sz="4" w:space="0" w:color="auto"/>
            </w:tcBorders>
          </w:tcPr>
          <w:p w:rsidR="002F45D8" w:rsidRPr="00B96BF9" w:rsidRDefault="002F45D8" w:rsidP="007B34A2">
            <w:pPr>
              <w:spacing w:line="240" w:lineRule="auto"/>
              <w:jc w:val="center"/>
              <w:rPr>
                <w:sz w:val="20"/>
                <w:szCs w:val="20"/>
              </w:rPr>
            </w:pPr>
            <w:r w:rsidRPr="00B96BF9">
              <w:rPr>
                <w:sz w:val="20"/>
                <w:szCs w:val="20"/>
              </w:rPr>
              <w:t>Cena brutto</w:t>
            </w:r>
          </w:p>
          <w:p w:rsidR="002F45D8" w:rsidRPr="00B96BF9" w:rsidRDefault="002F45D8" w:rsidP="007B34A2">
            <w:pPr>
              <w:spacing w:line="240" w:lineRule="auto"/>
              <w:jc w:val="center"/>
              <w:rPr>
                <w:sz w:val="20"/>
                <w:szCs w:val="20"/>
              </w:rPr>
            </w:pPr>
            <w:r w:rsidRPr="00B96BF9">
              <w:rPr>
                <w:sz w:val="20"/>
                <w:szCs w:val="20"/>
              </w:rPr>
              <w:t>- 60 %</w:t>
            </w:r>
          </w:p>
        </w:tc>
        <w:tc>
          <w:tcPr>
            <w:tcW w:w="1043" w:type="pct"/>
            <w:tcBorders>
              <w:bottom w:val="single" w:sz="4" w:space="0" w:color="auto"/>
            </w:tcBorders>
          </w:tcPr>
          <w:p w:rsidR="002F45D8" w:rsidRPr="00B96BF9" w:rsidRDefault="002F45D8" w:rsidP="007B34A2">
            <w:pPr>
              <w:spacing w:line="240" w:lineRule="auto"/>
              <w:jc w:val="center"/>
              <w:rPr>
                <w:sz w:val="20"/>
                <w:szCs w:val="20"/>
              </w:rPr>
            </w:pPr>
            <w:r>
              <w:rPr>
                <w:sz w:val="20"/>
                <w:szCs w:val="20"/>
              </w:rPr>
              <w:t>Termin realizacji</w:t>
            </w:r>
          </w:p>
          <w:p w:rsidR="002F45D8" w:rsidRPr="00B96BF9" w:rsidRDefault="002F45D8" w:rsidP="007B34A2">
            <w:pPr>
              <w:spacing w:line="240" w:lineRule="auto"/>
              <w:jc w:val="center"/>
              <w:rPr>
                <w:sz w:val="20"/>
                <w:szCs w:val="20"/>
              </w:rPr>
            </w:pPr>
            <w:r>
              <w:rPr>
                <w:sz w:val="20"/>
                <w:szCs w:val="20"/>
              </w:rPr>
              <w:t>-  4</w:t>
            </w:r>
            <w:r w:rsidRPr="00B96BF9">
              <w:rPr>
                <w:sz w:val="20"/>
                <w:szCs w:val="20"/>
              </w:rPr>
              <w:t>0 %</w:t>
            </w:r>
          </w:p>
        </w:tc>
        <w:tc>
          <w:tcPr>
            <w:tcW w:w="622" w:type="pct"/>
            <w:tcBorders>
              <w:bottom w:val="single" w:sz="4" w:space="0" w:color="auto"/>
            </w:tcBorders>
          </w:tcPr>
          <w:p w:rsidR="002F45D8" w:rsidRPr="00B96BF9" w:rsidRDefault="002F45D8" w:rsidP="007B34A2">
            <w:pPr>
              <w:spacing w:line="240" w:lineRule="auto"/>
              <w:jc w:val="center"/>
              <w:rPr>
                <w:sz w:val="20"/>
                <w:szCs w:val="20"/>
              </w:rPr>
            </w:pPr>
            <w:r w:rsidRPr="00B96BF9">
              <w:rPr>
                <w:sz w:val="20"/>
                <w:szCs w:val="20"/>
              </w:rPr>
              <w:t>RAZEM</w:t>
            </w:r>
          </w:p>
        </w:tc>
      </w:tr>
      <w:tr w:rsidR="002F45D8" w:rsidRPr="00B96BF9" w:rsidTr="002F45D8">
        <w:trPr>
          <w:cantSplit/>
          <w:trHeight w:val="430"/>
        </w:trPr>
        <w:tc>
          <w:tcPr>
            <w:tcW w:w="330" w:type="pct"/>
            <w:vAlign w:val="center"/>
          </w:tcPr>
          <w:p w:rsidR="002F45D8" w:rsidRPr="00560D6E" w:rsidRDefault="002F45D8" w:rsidP="00B96BF9">
            <w:pPr>
              <w:spacing w:line="240" w:lineRule="auto"/>
              <w:rPr>
                <w:b/>
                <w:sz w:val="20"/>
                <w:szCs w:val="20"/>
              </w:rPr>
            </w:pPr>
            <w:r w:rsidRPr="00560D6E">
              <w:rPr>
                <w:b/>
                <w:sz w:val="20"/>
                <w:szCs w:val="20"/>
              </w:rPr>
              <w:t>1</w:t>
            </w:r>
          </w:p>
        </w:tc>
        <w:tc>
          <w:tcPr>
            <w:tcW w:w="1892" w:type="pct"/>
            <w:vAlign w:val="center"/>
          </w:tcPr>
          <w:p w:rsidR="002F45D8" w:rsidRPr="00B96BF9" w:rsidRDefault="002F45D8" w:rsidP="00B96BF9">
            <w:pPr>
              <w:spacing w:line="240" w:lineRule="auto"/>
              <w:rPr>
                <w:sz w:val="20"/>
                <w:szCs w:val="20"/>
              </w:rPr>
            </w:pPr>
            <w:proofErr w:type="spellStart"/>
            <w:r w:rsidRPr="00B11A60">
              <w:rPr>
                <w:b/>
                <w:sz w:val="20"/>
                <w:szCs w:val="20"/>
              </w:rPr>
              <w:t>Mayeryn</w:t>
            </w:r>
            <w:proofErr w:type="spellEnd"/>
            <w:r w:rsidRPr="00B11A60">
              <w:rPr>
                <w:b/>
                <w:sz w:val="20"/>
                <w:szCs w:val="20"/>
              </w:rPr>
              <w:t xml:space="preserve"> Sp. z o. o.</w:t>
            </w:r>
          </w:p>
        </w:tc>
        <w:tc>
          <w:tcPr>
            <w:tcW w:w="1113" w:type="pct"/>
            <w:vAlign w:val="center"/>
          </w:tcPr>
          <w:p w:rsidR="002F45D8" w:rsidRPr="00560D6E" w:rsidRDefault="00657032" w:rsidP="007B34A2">
            <w:pPr>
              <w:spacing w:line="240" w:lineRule="auto"/>
              <w:jc w:val="center"/>
              <w:rPr>
                <w:b/>
                <w:sz w:val="20"/>
                <w:szCs w:val="20"/>
              </w:rPr>
            </w:pPr>
            <w:r>
              <w:rPr>
                <w:b/>
                <w:sz w:val="20"/>
                <w:szCs w:val="20"/>
              </w:rPr>
              <w:t>55</w:t>
            </w:r>
          </w:p>
        </w:tc>
        <w:tc>
          <w:tcPr>
            <w:tcW w:w="1043" w:type="pct"/>
            <w:vAlign w:val="center"/>
          </w:tcPr>
          <w:p w:rsidR="002F45D8" w:rsidRPr="00560D6E" w:rsidRDefault="00657032" w:rsidP="007B34A2">
            <w:pPr>
              <w:spacing w:line="240" w:lineRule="auto"/>
              <w:jc w:val="center"/>
              <w:rPr>
                <w:b/>
                <w:sz w:val="20"/>
                <w:szCs w:val="20"/>
              </w:rPr>
            </w:pPr>
            <w:r>
              <w:rPr>
                <w:b/>
                <w:sz w:val="20"/>
                <w:szCs w:val="20"/>
              </w:rPr>
              <w:t>4</w:t>
            </w:r>
            <w:r w:rsidR="002F45D8" w:rsidRPr="00560D6E">
              <w:rPr>
                <w:b/>
                <w:sz w:val="20"/>
                <w:szCs w:val="20"/>
              </w:rPr>
              <w:t>0</w:t>
            </w:r>
          </w:p>
        </w:tc>
        <w:tc>
          <w:tcPr>
            <w:tcW w:w="622" w:type="pct"/>
            <w:vAlign w:val="center"/>
          </w:tcPr>
          <w:p w:rsidR="002F45D8" w:rsidRPr="00560D6E" w:rsidRDefault="00657032" w:rsidP="007B34A2">
            <w:pPr>
              <w:spacing w:line="240" w:lineRule="auto"/>
              <w:jc w:val="center"/>
              <w:rPr>
                <w:b/>
                <w:sz w:val="20"/>
                <w:szCs w:val="20"/>
              </w:rPr>
            </w:pPr>
            <w:r>
              <w:rPr>
                <w:b/>
                <w:sz w:val="20"/>
                <w:szCs w:val="20"/>
              </w:rPr>
              <w:t>95</w:t>
            </w:r>
          </w:p>
        </w:tc>
      </w:tr>
      <w:tr w:rsidR="002F45D8" w:rsidRPr="00B96BF9" w:rsidTr="002F45D8">
        <w:trPr>
          <w:cantSplit/>
          <w:trHeight w:val="430"/>
        </w:trPr>
        <w:tc>
          <w:tcPr>
            <w:tcW w:w="330" w:type="pct"/>
            <w:vAlign w:val="center"/>
          </w:tcPr>
          <w:p w:rsidR="002F45D8" w:rsidRPr="00560D6E" w:rsidRDefault="002F45D8" w:rsidP="00B96BF9">
            <w:pPr>
              <w:spacing w:line="240" w:lineRule="auto"/>
              <w:rPr>
                <w:b/>
                <w:sz w:val="20"/>
                <w:szCs w:val="20"/>
              </w:rPr>
            </w:pPr>
            <w:r w:rsidRPr="00560D6E">
              <w:rPr>
                <w:b/>
                <w:sz w:val="20"/>
                <w:szCs w:val="20"/>
              </w:rPr>
              <w:t>2</w:t>
            </w:r>
          </w:p>
        </w:tc>
        <w:tc>
          <w:tcPr>
            <w:tcW w:w="1892" w:type="pct"/>
            <w:vAlign w:val="center"/>
          </w:tcPr>
          <w:p w:rsidR="002F45D8" w:rsidRPr="00B96BF9" w:rsidRDefault="002F45D8" w:rsidP="00B96BF9">
            <w:pPr>
              <w:spacing w:line="240" w:lineRule="auto"/>
              <w:rPr>
                <w:sz w:val="20"/>
                <w:szCs w:val="20"/>
              </w:rPr>
            </w:pPr>
            <w:proofErr w:type="spellStart"/>
            <w:r w:rsidRPr="00B11A60">
              <w:rPr>
                <w:b/>
                <w:sz w:val="20"/>
                <w:szCs w:val="20"/>
              </w:rPr>
              <w:t>QBeeQ</w:t>
            </w:r>
            <w:proofErr w:type="spellEnd"/>
            <w:r w:rsidRPr="00B11A60">
              <w:rPr>
                <w:b/>
                <w:sz w:val="20"/>
                <w:szCs w:val="20"/>
              </w:rPr>
              <w:t xml:space="preserve"> – Michał Becker</w:t>
            </w:r>
          </w:p>
        </w:tc>
        <w:tc>
          <w:tcPr>
            <w:tcW w:w="1113" w:type="pct"/>
            <w:vAlign w:val="center"/>
          </w:tcPr>
          <w:p w:rsidR="002F45D8" w:rsidRPr="00560D6E" w:rsidRDefault="00657032" w:rsidP="007B34A2">
            <w:pPr>
              <w:spacing w:line="240" w:lineRule="auto"/>
              <w:jc w:val="center"/>
              <w:rPr>
                <w:b/>
                <w:sz w:val="20"/>
                <w:szCs w:val="20"/>
              </w:rPr>
            </w:pPr>
            <w:r>
              <w:rPr>
                <w:b/>
                <w:sz w:val="20"/>
                <w:szCs w:val="20"/>
              </w:rPr>
              <w:t>21</w:t>
            </w:r>
          </w:p>
        </w:tc>
        <w:tc>
          <w:tcPr>
            <w:tcW w:w="1043" w:type="pct"/>
            <w:vAlign w:val="center"/>
          </w:tcPr>
          <w:p w:rsidR="002F45D8" w:rsidRPr="00560D6E" w:rsidRDefault="00657032" w:rsidP="007B34A2">
            <w:pPr>
              <w:spacing w:line="240" w:lineRule="auto"/>
              <w:jc w:val="center"/>
              <w:rPr>
                <w:b/>
                <w:sz w:val="20"/>
                <w:szCs w:val="20"/>
              </w:rPr>
            </w:pPr>
            <w:r>
              <w:rPr>
                <w:b/>
                <w:sz w:val="20"/>
                <w:szCs w:val="20"/>
              </w:rPr>
              <w:t>40</w:t>
            </w:r>
          </w:p>
        </w:tc>
        <w:tc>
          <w:tcPr>
            <w:tcW w:w="622" w:type="pct"/>
            <w:vAlign w:val="center"/>
          </w:tcPr>
          <w:p w:rsidR="002F45D8" w:rsidRPr="00560D6E" w:rsidRDefault="00657032" w:rsidP="007B34A2">
            <w:pPr>
              <w:spacing w:line="240" w:lineRule="auto"/>
              <w:jc w:val="center"/>
              <w:rPr>
                <w:b/>
                <w:sz w:val="20"/>
                <w:szCs w:val="20"/>
              </w:rPr>
            </w:pPr>
            <w:r>
              <w:rPr>
                <w:b/>
                <w:sz w:val="20"/>
                <w:szCs w:val="20"/>
              </w:rPr>
              <w:t>61</w:t>
            </w:r>
          </w:p>
        </w:tc>
      </w:tr>
      <w:tr w:rsidR="002F45D8" w:rsidRPr="00560D6E" w:rsidTr="002F45D8">
        <w:trPr>
          <w:cantSplit/>
          <w:trHeight w:val="430"/>
        </w:trPr>
        <w:tc>
          <w:tcPr>
            <w:tcW w:w="330" w:type="pct"/>
            <w:vAlign w:val="center"/>
          </w:tcPr>
          <w:p w:rsidR="002F45D8" w:rsidRPr="00560D6E" w:rsidRDefault="002F45D8" w:rsidP="00B96BF9">
            <w:pPr>
              <w:spacing w:line="240" w:lineRule="auto"/>
              <w:rPr>
                <w:b/>
                <w:sz w:val="20"/>
                <w:szCs w:val="20"/>
              </w:rPr>
            </w:pPr>
            <w:r w:rsidRPr="00560D6E">
              <w:rPr>
                <w:b/>
                <w:sz w:val="20"/>
                <w:szCs w:val="20"/>
              </w:rPr>
              <w:t>3</w:t>
            </w:r>
          </w:p>
        </w:tc>
        <w:tc>
          <w:tcPr>
            <w:tcW w:w="1892" w:type="pct"/>
            <w:vAlign w:val="center"/>
          </w:tcPr>
          <w:p w:rsidR="002F45D8" w:rsidRPr="00560D6E" w:rsidRDefault="002F45D8" w:rsidP="00B96BF9">
            <w:pPr>
              <w:spacing w:line="240" w:lineRule="auto"/>
              <w:rPr>
                <w:sz w:val="20"/>
                <w:szCs w:val="20"/>
                <w:lang w:val="en-US"/>
              </w:rPr>
            </w:pPr>
            <w:r w:rsidRPr="00560D6E">
              <w:rPr>
                <w:b/>
                <w:sz w:val="20"/>
                <w:szCs w:val="20"/>
                <w:lang w:val="en-US"/>
              </w:rPr>
              <w:t>ALBIT SOFTWARE Sp. z o. o.</w:t>
            </w:r>
          </w:p>
        </w:tc>
        <w:tc>
          <w:tcPr>
            <w:tcW w:w="1113" w:type="pct"/>
            <w:vAlign w:val="center"/>
          </w:tcPr>
          <w:p w:rsidR="002F45D8" w:rsidRPr="00560D6E" w:rsidRDefault="00657032" w:rsidP="007B34A2">
            <w:pPr>
              <w:spacing w:line="240" w:lineRule="auto"/>
              <w:jc w:val="center"/>
              <w:rPr>
                <w:b/>
                <w:sz w:val="20"/>
                <w:szCs w:val="20"/>
                <w:lang w:val="en-US"/>
              </w:rPr>
            </w:pPr>
            <w:r>
              <w:rPr>
                <w:b/>
                <w:sz w:val="20"/>
                <w:szCs w:val="20"/>
                <w:lang w:val="en-US"/>
              </w:rPr>
              <w:t>19</w:t>
            </w:r>
          </w:p>
        </w:tc>
        <w:tc>
          <w:tcPr>
            <w:tcW w:w="1043" w:type="pct"/>
            <w:vAlign w:val="center"/>
          </w:tcPr>
          <w:p w:rsidR="002F45D8" w:rsidRPr="00560D6E" w:rsidRDefault="00657032" w:rsidP="007B34A2">
            <w:pPr>
              <w:spacing w:line="240" w:lineRule="auto"/>
              <w:jc w:val="center"/>
              <w:rPr>
                <w:b/>
                <w:sz w:val="20"/>
                <w:szCs w:val="20"/>
                <w:lang w:val="en-US"/>
              </w:rPr>
            </w:pPr>
            <w:r>
              <w:rPr>
                <w:b/>
                <w:sz w:val="20"/>
                <w:szCs w:val="20"/>
                <w:lang w:val="en-US"/>
              </w:rPr>
              <w:t>40</w:t>
            </w:r>
          </w:p>
        </w:tc>
        <w:tc>
          <w:tcPr>
            <w:tcW w:w="622" w:type="pct"/>
            <w:vAlign w:val="center"/>
          </w:tcPr>
          <w:p w:rsidR="002F45D8" w:rsidRPr="00560D6E" w:rsidRDefault="00657032" w:rsidP="007B34A2">
            <w:pPr>
              <w:spacing w:line="240" w:lineRule="auto"/>
              <w:jc w:val="center"/>
              <w:rPr>
                <w:b/>
                <w:sz w:val="20"/>
                <w:szCs w:val="20"/>
                <w:lang w:val="en-US"/>
              </w:rPr>
            </w:pPr>
            <w:r>
              <w:rPr>
                <w:b/>
                <w:sz w:val="20"/>
                <w:szCs w:val="20"/>
                <w:lang w:val="en-US"/>
              </w:rPr>
              <w:t>59</w:t>
            </w:r>
          </w:p>
        </w:tc>
      </w:tr>
      <w:tr w:rsidR="002F45D8" w:rsidRPr="00B96BF9" w:rsidTr="002F45D8">
        <w:trPr>
          <w:cantSplit/>
          <w:trHeight w:val="430"/>
        </w:trPr>
        <w:tc>
          <w:tcPr>
            <w:tcW w:w="330" w:type="pct"/>
            <w:vAlign w:val="center"/>
          </w:tcPr>
          <w:p w:rsidR="002F45D8" w:rsidRPr="00560D6E" w:rsidRDefault="002F45D8" w:rsidP="00B96BF9">
            <w:pPr>
              <w:spacing w:line="240" w:lineRule="auto"/>
              <w:rPr>
                <w:b/>
                <w:sz w:val="20"/>
                <w:szCs w:val="20"/>
              </w:rPr>
            </w:pPr>
            <w:r w:rsidRPr="00560D6E">
              <w:rPr>
                <w:b/>
                <w:sz w:val="20"/>
                <w:szCs w:val="20"/>
              </w:rPr>
              <w:t>4</w:t>
            </w:r>
          </w:p>
        </w:tc>
        <w:tc>
          <w:tcPr>
            <w:tcW w:w="1892" w:type="pct"/>
            <w:vAlign w:val="center"/>
          </w:tcPr>
          <w:p w:rsidR="002F45D8" w:rsidRPr="00B96BF9" w:rsidRDefault="002F45D8" w:rsidP="00B96BF9">
            <w:pPr>
              <w:spacing w:line="240" w:lineRule="auto"/>
              <w:rPr>
                <w:sz w:val="20"/>
                <w:szCs w:val="20"/>
              </w:rPr>
            </w:pPr>
            <w:r w:rsidRPr="00560D6E">
              <w:rPr>
                <w:rFonts w:cstheme="minorHAnsi"/>
                <w:b/>
                <w:sz w:val="20"/>
                <w:szCs w:val="20"/>
              </w:rPr>
              <w:t>Pretius</w:t>
            </w:r>
          </w:p>
        </w:tc>
        <w:tc>
          <w:tcPr>
            <w:tcW w:w="1113" w:type="pct"/>
            <w:vAlign w:val="center"/>
          </w:tcPr>
          <w:p w:rsidR="002F45D8" w:rsidRPr="00560D6E" w:rsidRDefault="00657032" w:rsidP="007B34A2">
            <w:pPr>
              <w:spacing w:line="240" w:lineRule="auto"/>
              <w:jc w:val="center"/>
              <w:rPr>
                <w:b/>
                <w:sz w:val="20"/>
                <w:szCs w:val="20"/>
              </w:rPr>
            </w:pPr>
            <w:r>
              <w:rPr>
                <w:b/>
                <w:sz w:val="20"/>
                <w:szCs w:val="20"/>
              </w:rPr>
              <w:t>0</w:t>
            </w:r>
          </w:p>
        </w:tc>
        <w:tc>
          <w:tcPr>
            <w:tcW w:w="1043" w:type="pct"/>
            <w:vAlign w:val="center"/>
          </w:tcPr>
          <w:p w:rsidR="002F45D8" w:rsidRPr="00560D6E" w:rsidRDefault="00657032" w:rsidP="007B34A2">
            <w:pPr>
              <w:spacing w:line="240" w:lineRule="auto"/>
              <w:jc w:val="center"/>
              <w:rPr>
                <w:b/>
                <w:sz w:val="20"/>
                <w:szCs w:val="20"/>
              </w:rPr>
            </w:pPr>
            <w:r>
              <w:rPr>
                <w:b/>
                <w:sz w:val="20"/>
                <w:szCs w:val="20"/>
              </w:rPr>
              <w:t>0</w:t>
            </w:r>
          </w:p>
        </w:tc>
        <w:tc>
          <w:tcPr>
            <w:tcW w:w="622" w:type="pct"/>
            <w:vAlign w:val="center"/>
          </w:tcPr>
          <w:p w:rsidR="002F45D8" w:rsidRPr="00560D6E" w:rsidRDefault="00657032" w:rsidP="007B34A2">
            <w:pPr>
              <w:spacing w:line="240" w:lineRule="auto"/>
              <w:jc w:val="center"/>
              <w:rPr>
                <w:b/>
                <w:sz w:val="20"/>
                <w:szCs w:val="20"/>
              </w:rPr>
            </w:pPr>
            <w:r>
              <w:rPr>
                <w:b/>
                <w:sz w:val="20"/>
                <w:szCs w:val="20"/>
              </w:rPr>
              <w:t>0</w:t>
            </w:r>
          </w:p>
        </w:tc>
      </w:tr>
      <w:tr w:rsidR="002F45D8" w:rsidRPr="00B96BF9" w:rsidTr="002F45D8">
        <w:trPr>
          <w:cantSplit/>
          <w:trHeight w:val="430"/>
        </w:trPr>
        <w:tc>
          <w:tcPr>
            <w:tcW w:w="330" w:type="pct"/>
            <w:tcBorders>
              <w:bottom w:val="single" w:sz="4" w:space="0" w:color="auto"/>
            </w:tcBorders>
            <w:vAlign w:val="center"/>
          </w:tcPr>
          <w:p w:rsidR="002F45D8" w:rsidRPr="00560D6E" w:rsidRDefault="002F45D8" w:rsidP="00B96BF9">
            <w:pPr>
              <w:spacing w:line="240" w:lineRule="auto"/>
              <w:rPr>
                <w:b/>
                <w:sz w:val="20"/>
                <w:szCs w:val="20"/>
              </w:rPr>
            </w:pPr>
            <w:r w:rsidRPr="00560D6E">
              <w:rPr>
                <w:b/>
                <w:sz w:val="20"/>
                <w:szCs w:val="20"/>
              </w:rPr>
              <w:t>5</w:t>
            </w:r>
          </w:p>
        </w:tc>
        <w:tc>
          <w:tcPr>
            <w:tcW w:w="1892" w:type="pct"/>
            <w:tcBorders>
              <w:bottom w:val="single" w:sz="4" w:space="0" w:color="auto"/>
            </w:tcBorders>
            <w:vAlign w:val="center"/>
          </w:tcPr>
          <w:p w:rsidR="002F45D8" w:rsidRPr="00B96BF9" w:rsidRDefault="002F45D8" w:rsidP="00B96BF9">
            <w:pPr>
              <w:spacing w:line="240" w:lineRule="auto"/>
              <w:rPr>
                <w:sz w:val="20"/>
                <w:szCs w:val="20"/>
              </w:rPr>
            </w:pPr>
            <w:r w:rsidRPr="00B11A60">
              <w:rPr>
                <w:b/>
                <w:sz w:val="20"/>
                <w:szCs w:val="20"/>
              </w:rPr>
              <w:t>Net PC Sp. z o. o.</w:t>
            </w:r>
          </w:p>
        </w:tc>
        <w:tc>
          <w:tcPr>
            <w:tcW w:w="1113" w:type="pct"/>
            <w:tcBorders>
              <w:bottom w:val="single" w:sz="4" w:space="0" w:color="auto"/>
            </w:tcBorders>
            <w:vAlign w:val="center"/>
          </w:tcPr>
          <w:p w:rsidR="002F45D8" w:rsidRPr="00560D6E" w:rsidRDefault="00657032" w:rsidP="007B34A2">
            <w:pPr>
              <w:spacing w:line="240" w:lineRule="auto"/>
              <w:jc w:val="center"/>
              <w:rPr>
                <w:b/>
                <w:sz w:val="20"/>
                <w:szCs w:val="20"/>
              </w:rPr>
            </w:pPr>
            <w:r>
              <w:rPr>
                <w:b/>
                <w:sz w:val="20"/>
                <w:szCs w:val="20"/>
              </w:rPr>
              <w:t>60</w:t>
            </w:r>
          </w:p>
        </w:tc>
        <w:tc>
          <w:tcPr>
            <w:tcW w:w="1043" w:type="pct"/>
            <w:tcBorders>
              <w:bottom w:val="single" w:sz="4" w:space="0" w:color="auto"/>
            </w:tcBorders>
            <w:vAlign w:val="center"/>
          </w:tcPr>
          <w:p w:rsidR="002F45D8" w:rsidRPr="00560D6E" w:rsidRDefault="00657032" w:rsidP="007B34A2">
            <w:pPr>
              <w:spacing w:line="240" w:lineRule="auto"/>
              <w:jc w:val="center"/>
              <w:rPr>
                <w:b/>
                <w:sz w:val="20"/>
                <w:szCs w:val="20"/>
              </w:rPr>
            </w:pPr>
            <w:r>
              <w:rPr>
                <w:b/>
                <w:sz w:val="20"/>
                <w:szCs w:val="20"/>
              </w:rPr>
              <w:t>40</w:t>
            </w:r>
          </w:p>
        </w:tc>
        <w:tc>
          <w:tcPr>
            <w:tcW w:w="622" w:type="pct"/>
            <w:tcBorders>
              <w:bottom w:val="single" w:sz="4" w:space="0" w:color="auto"/>
            </w:tcBorders>
            <w:vAlign w:val="center"/>
          </w:tcPr>
          <w:p w:rsidR="002F45D8" w:rsidRPr="00560D6E" w:rsidRDefault="00657032" w:rsidP="007B34A2">
            <w:pPr>
              <w:spacing w:line="240" w:lineRule="auto"/>
              <w:jc w:val="center"/>
              <w:rPr>
                <w:b/>
                <w:sz w:val="20"/>
                <w:szCs w:val="20"/>
              </w:rPr>
            </w:pPr>
            <w:r>
              <w:rPr>
                <w:b/>
                <w:sz w:val="20"/>
                <w:szCs w:val="20"/>
              </w:rPr>
              <w:t>100</w:t>
            </w:r>
          </w:p>
        </w:tc>
      </w:tr>
    </w:tbl>
    <w:p w:rsidR="00B96BF9" w:rsidRDefault="00B96BF9" w:rsidP="00B96BF9">
      <w:pPr>
        <w:spacing w:line="240" w:lineRule="auto"/>
        <w:rPr>
          <w:sz w:val="20"/>
          <w:szCs w:val="20"/>
        </w:rPr>
      </w:pPr>
    </w:p>
    <w:p w:rsidR="00B96BF9" w:rsidRPr="00B96BF9" w:rsidRDefault="00B96BF9" w:rsidP="00B96BF9">
      <w:pPr>
        <w:spacing w:line="240" w:lineRule="auto"/>
        <w:rPr>
          <w:sz w:val="20"/>
          <w:szCs w:val="20"/>
        </w:rPr>
      </w:pPr>
      <w:r w:rsidRPr="00B96BF9">
        <w:rPr>
          <w:sz w:val="20"/>
          <w:szCs w:val="20"/>
        </w:rPr>
        <w:t>Umowa z wybranym wyko</w:t>
      </w:r>
      <w:r w:rsidR="00560D6E">
        <w:rPr>
          <w:sz w:val="20"/>
          <w:szCs w:val="20"/>
        </w:rPr>
        <w:t xml:space="preserve">nawcą zostanie zawarta po dniu </w:t>
      </w:r>
      <w:r w:rsidRPr="00B96BF9">
        <w:rPr>
          <w:sz w:val="20"/>
          <w:szCs w:val="20"/>
        </w:rPr>
        <w:t>0</w:t>
      </w:r>
      <w:r w:rsidR="00560D6E">
        <w:rPr>
          <w:sz w:val="20"/>
          <w:szCs w:val="20"/>
        </w:rPr>
        <w:t>9</w:t>
      </w:r>
      <w:r w:rsidRPr="00B96BF9">
        <w:rPr>
          <w:sz w:val="20"/>
          <w:szCs w:val="20"/>
        </w:rPr>
        <w:t>.</w:t>
      </w:r>
      <w:r w:rsidR="00560D6E">
        <w:rPr>
          <w:sz w:val="20"/>
          <w:szCs w:val="20"/>
        </w:rPr>
        <w:t>11</w:t>
      </w:r>
      <w:r w:rsidRPr="00B96BF9">
        <w:rPr>
          <w:sz w:val="20"/>
          <w:szCs w:val="20"/>
        </w:rPr>
        <w:t>.2020 r.</w:t>
      </w:r>
    </w:p>
    <w:p w:rsidR="0032200F" w:rsidRPr="00B96BF9" w:rsidRDefault="00560D6E" w:rsidP="00B96BF9">
      <w:pPr>
        <w:spacing w:line="240" w:lineRule="auto"/>
        <w:rPr>
          <w:sz w:val="20"/>
          <w:szCs w:val="20"/>
        </w:rPr>
      </w:pPr>
      <w:r>
        <w:rPr>
          <w:sz w:val="20"/>
          <w:szCs w:val="20"/>
        </w:rPr>
        <w:t>Informację otrzymują</w:t>
      </w:r>
      <w:r w:rsidR="00B96BF9" w:rsidRPr="00B96BF9">
        <w:rPr>
          <w:sz w:val="20"/>
          <w:szCs w:val="20"/>
        </w:rPr>
        <w:t xml:space="preserve"> Wykonawc</w:t>
      </w:r>
      <w:r>
        <w:rPr>
          <w:sz w:val="20"/>
          <w:szCs w:val="20"/>
        </w:rPr>
        <w:t>y</w:t>
      </w:r>
      <w:r w:rsidR="00B96BF9" w:rsidRPr="00B96BF9">
        <w:rPr>
          <w:sz w:val="20"/>
          <w:szCs w:val="20"/>
        </w:rPr>
        <w:t>, któr</w:t>
      </w:r>
      <w:r>
        <w:rPr>
          <w:sz w:val="20"/>
          <w:szCs w:val="20"/>
        </w:rPr>
        <w:t>z</w:t>
      </w:r>
      <w:r w:rsidR="00B96BF9" w:rsidRPr="00B96BF9">
        <w:rPr>
          <w:sz w:val="20"/>
          <w:szCs w:val="20"/>
        </w:rPr>
        <w:t>y złoży</w:t>
      </w:r>
      <w:r>
        <w:rPr>
          <w:sz w:val="20"/>
          <w:szCs w:val="20"/>
        </w:rPr>
        <w:t>li</w:t>
      </w:r>
      <w:r w:rsidR="00B96BF9" w:rsidRPr="00B96BF9">
        <w:rPr>
          <w:sz w:val="20"/>
          <w:szCs w:val="20"/>
        </w:rPr>
        <w:t xml:space="preserve"> ofertę. Zawiadomienie o rozstrzygnięciu postępowania zostanie również zamieszczone na portalu zakupowym SPSK-2.</w:t>
      </w:r>
      <w:r w:rsidR="006B40AD" w:rsidRPr="00B96BF9">
        <w:rPr>
          <w:sz w:val="20"/>
          <w:szCs w:val="20"/>
        </w:rPr>
        <w:tab/>
      </w:r>
    </w:p>
    <w:p w:rsidR="002F497A" w:rsidRPr="00676BD6" w:rsidRDefault="0032200F" w:rsidP="00676BD6">
      <w:pPr>
        <w:tabs>
          <w:tab w:val="left" w:pos="1590"/>
        </w:tabs>
        <w:autoSpaceDE w:val="0"/>
        <w:autoSpaceDN w:val="0"/>
        <w:adjustRightInd w:val="0"/>
        <w:spacing w:after="0" w:line="240" w:lineRule="auto"/>
        <w:rPr>
          <w:rFonts w:cs="Times New Roman"/>
          <w:b/>
          <w:sz w:val="20"/>
          <w:szCs w:val="20"/>
        </w:rPr>
      </w:pP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00676BD6">
        <w:rPr>
          <w:rFonts w:cs="Times New Roman"/>
          <w:b/>
          <w:sz w:val="20"/>
          <w:szCs w:val="20"/>
        </w:rPr>
        <w:tab/>
      </w:r>
      <w:r w:rsidR="00676BD6">
        <w:rPr>
          <w:rFonts w:cs="Times New Roman"/>
          <w:b/>
          <w:sz w:val="20"/>
          <w:szCs w:val="20"/>
        </w:rPr>
        <w:tab/>
      </w:r>
      <w:r w:rsidR="002F497A" w:rsidRPr="00676BD6">
        <w:rPr>
          <w:rFonts w:cs="Times New Roman"/>
          <w:b/>
          <w:i/>
          <w:sz w:val="20"/>
          <w:szCs w:val="20"/>
        </w:rPr>
        <w:t>Z poważaniem</w:t>
      </w:r>
    </w:p>
    <w:p w:rsidR="002F497A" w:rsidRPr="00676BD6" w:rsidRDefault="00560D6E" w:rsidP="00560D6E">
      <w:pPr>
        <w:spacing w:after="0" w:line="240" w:lineRule="auto"/>
        <w:ind w:left="5664"/>
        <w:rPr>
          <w:rFonts w:cs="Times New Roman"/>
          <w:sz w:val="20"/>
          <w:szCs w:val="20"/>
        </w:rPr>
      </w:pPr>
      <w:r>
        <w:rPr>
          <w:rFonts w:eastAsia="Times New Roman" w:cs="Times New Roman"/>
          <w:b/>
          <w:sz w:val="20"/>
          <w:szCs w:val="20"/>
          <w:lang w:eastAsia="pl-PL"/>
        </w:rPr>
        <w:t xml:space="preserve">             DYREKTOR SPSK-2</w:t>
      </w:r>
    </w:p>
    <w:bookmarkEnd w:id="2"/>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B96BF9" w:rsidRDefault="00B96BF9" w:rsidP="00676BD6">
      <w:pPr>
        <w:spacing w:after="0" w:line="240" w:lineRule="auto"/>
        <w:rPr>
          <w:rFonts w:cs="Times New Roman"/>
          <w:sz w:val="18"/>
          <w:szCs w:val="18"/>
        </w:rPr>
      </w:pPr>
    </w:p>
    <w:p w:rsidR="003B0D27" w:rsidRPr="00676BD6" w:rsidRDefault="003B0D27" w:rsidP="00676BD6">
      <w:pPr>
        <w:spacing w:after="0" w:line="240" w:lineRule="auto"/>
        <w:rPr>
          <w:rFonts w:cs="Times New Roman"/>
          <w:sz w:val="20"/>
          <w:szCs w:val="20"/>
        </w:rPr>
      </w:pPr>
      <w:r w:rsidRPr="00937EC5">
        <w:rPr>
          <w:rFonts w:cs="Times New Roman"/>
          <w:sz w:val="18"/>
          <w:szCs w:val="18"/>
        </w:rPr>
        <w:t xml:space="preserve">Sprawę prowadzi (opracował): </w:t>
      </w:r>
    </w:p>
    <w:p w:rsidR="00B5430B" w:rsidRPr="00937EC5" w:rsidRDefault="005A506C" w:rsidP="00833CD1">
      <w:pPr>
        <w:spacing w:after="0" w:line="240" w:lineRule="auto"/>
        <w:rPr>
          <w:rFonts w:cs="Times New Roman"/>
          <w:sz w:val="20"/>
          <w:szCs w:val="20"/>
        </w:rPr>
      </w:pPr>
      <w:r w:rsidRPr="00937EC5">
        <w:rPr>
          <w:rFonts w:cs="Times New Roman"/>
          <w:sz w:val="18"/>
          <w:szCs w:val="18"/>
        </w:rPr>
        <w:t xml:space="preserve">Eliza Koladyńska </w:t>
      </w:r>
      <w:r w:rsidR="00646B44" w:rsidRPr="00937EC5">
        <w:rPr>
          <w:rFonts w:cs="Times New Roman"/>
          <w:sz w:val="18"/>
          <w:szCs w:val="18"/>
        </w:rPr>
        <w:t>–</w:t>
      </w:r>
      <w:r w:rsidRPr="00937EC5">
        <w:rPr>
          <w:rFonts w:cs="Times New Roman"/>
          <w:sz w:val="18"/>
          <w:szCs w:val="18"/>
        </w:rPr>
        <w:t xml:space="preserve"> Nowacka</w:t>
      </w:r>
      <w:r w:rsidR="00646B44" w:rsidRPr="00937EC5">
        <w:rPr>
          <w:rFonts w:cs="Times New Roman"/>
          <w:sz w:val="18"/>
          <w:szCs w:val="18"/>
        </w:rPr>
        <w:t xml:space="preserve">, </w:t>
      </w:r>
      <w:r w:rsidR="003B0D27" w:rsidRPr="00937EC5">
        <w:rPr>
          <w:rFonts w:cs="Times New Roman"/>
          <w:sz w:val="18"/>
          <w:szCs w:val="18"/>
        </w:rPr>
        <w:t xml:space="preserve">tel. </w:t>
      </w:r>
      <w:r w:rsidRPr="00937EC5">
        <w:rPr>
          <w:rFonts w:cs="Times New Roman"/>
          <w:sz w:val="18"/>
          <w:szCs w:val="18"/>
        </w:rPr>
        <w:t>91-466-1086</w:t>
      </w:r>
    </w:p>
    <w:sectPr w:rsidR="00B5430B" w:rsidRPr="00937EC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FC" w:rsidRDefault="00A912FC" w:rsidP="00073102">
      <w:pPr>
        <w:spacing w:after="0" w:line="240" w:lineRule="auto"/>
      </w:pPr>
      <w:r>
        <w:separator/>
      </w:r>
    </w:p>
  </w:endnote>
  <w:endnote w:type="continuationSeparator" w:id="0">
    <w:p w:rsidR="00A912FC" w:rsidRDefault="00A912FC"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D3A71">
      <w:rPr>
        <w:b/>
        <w:bCs/>
        <w:noProof/>
      </w:rPr>
      <w:t>2</w:t>
    </w:r>
    <w:r w:rsidRPr="006E69D8">
      <w:rPr>
        <w:b/>
        <w:bCs/>
      </w:rPr>
      <w:fldChar w:fldCharType="end"/>
    </w:r>
    <w:r w:rsidRPr="006E69D8">
      <w:t xml:space="preserve"> / </w:t>
    </w:r>
    <w:r w:rsidR="00A912FC">
      <w:rPr>
        <w:noProof/>
      </w:rPr>
      <w:fldChar w:fldCharType="begin"/>
    </w:r>
    <w:r w:rsidR="00A912FC">
      <w:rPr>
        <w:noProof/>
      </w:rPr>
      <w:instrText>NUMPAGES  \* Arabic  \* MERGEFORMAT</w:instrText>
    </w:r>
    <w:r w:rsidR="00A912FC">
      <w:rPr>
        <w:noProof/>
      </w:rPr>
      <w:fldChar w:fldCharType="separate"/>
    </w:r>
    <w:r w:rsidR="009D3A71">
      <w:rPr>
        <w:noProof/>
      </w:rPr>
      <w:t>2</w:t>
    </w:r>
    <w:r w:rsidR="00A912F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FC" w:rsidRDefault="00A912FC" w:rsidP="00073102">
      <w:pPr>
        <w:spacing w:after="0" w:line="240" w:lineRule="auto"/>
      </w:pPr>
      <w:r>
        <w:separator/>
      </w:r>
    </w:p>
  </w:footnote>
  <w:footnote w:type="continuationSeparator" w:id="0">
    <w:p w:rsidR="00A912FC" w:rsidRDefault="00A912FC"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B96BF9">
      <w:rPr>
        <w:rFonts w:cstheme="minorHAnsi"/>
      </w:rPr>
      <w:t>0</w:t>
    </w:r>
    <w:r w:rsidR="00CF5B93">
      <w:rPr>
        <w:rFonts w:cstheme="minorHAnsi"/>
      </w:rPr>
      <w:t>3</w:t>
    </w:r>
    <w:r>
      <w:rPr>
        <w:rFonts w:cstheme="minorHAnsi"/>
      </w:rPr>
      <w:t>-</w:t>
    </w:r>
    <w:r w:rsidR="00CF5B93">
      <w:rPr>
        <w:rFonts w:cstheme="minorHAnsi"/>
      </w:rPr>
      <w:t>11</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5D8"/>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0D6E"/>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57032"/>
    <w:rsid w:val="00664BD5"/>
    <w:rsid w:val="00672827"/>
    <w:rsid w:val="00676BD6"/>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34A2"/>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0EBB"/>
    <w:rsid w:val="0093566E"/>
    <w:rsid w:val="00937EC5"/>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D3A71"/>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12FC"/>
    <w:rsid w:val="00A94614"/>
    <w:rsid w:val="00AC5970"/>
    <w:rsid w:val="00AC785C"/>
    <w:rsid w:val="00AF63EA"/>
    <w:rsid w:val="00B11A60"/>
    <w:rsid w:val="00B20EBC"/>
    <w:rsid w:val="00B36766"/>
    <w:rsid w:val="00B5430B"/>
    <w:rsid w:val="00B561DD"/>
    <w:rsid w:val="00B643F1"/>
    <w:rsid w:val="00B64545"/>
    <w:rsid w:val="00B713CA"/>
    <w:rsid w:val="00B76106"/>
    <w:rsid w:val="00B7649C"/>
    <w:rsid w:val="00B96BF9"/>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CF5B93"/>
    <w:rsid w:val="00D144F0"/>
    <w:rsid w:val="00D22FF5"/>
    <w:rsid w:val="00D34BB7"/>
    <w:rsid w:val="00D52778"/>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C540B"/>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styleId="Odwoaniedokomentarza">
    <w:name w:val="annotation reference"/>
    <w:basedOn w:val="Domylnaczcionkaakapitu"/>
    <w:uiPriority w:val="99"/>
    <w:semiHidden/>
    <w:unhideWhenUsed/>
    <w:rsid w:val="00CF5B93"/>
    <w:rPr>
      <w:sz w:val="16"/>
      <w:szCs w:val="16"/>
    </w:rPr>
  </w:style>
  <w:style w:type="paragraph" w:styleId="Tekstkomentarza">
    <w:name w:val="annotation text"/>
    <w:basedOn w:val="Normalny"/>
    <w:link w:val="TekstkomentarzaZnak"/>
    <w:uiPriority w:val="99"/>
    <w:semiHidden/>
    <w:unhideWhenUsed/>
    <w:rsid w:val="00CF5B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5B93"/>
    <w:rPr>
      <w:sz w:val="20"/>
      <w:szCs w:val="20"/>
    </w:rPr>
  </w:style>
  <w:style w:type="paragraph" w:styleId="Tematkomentarza">
    <w:name w:val="annotation subject"/>
    <w:basedOn w:val="Tekstkomentarza"/>
    <w:next w:val="Tekstkomentarza"/>
    <w:link w:val="TematkomentarzaZnak"/>
    <w:uiPriority w:val="99"/>
    <w:semiHidden/>
    <w:unhideWhenUsed/>
    <w:rsid w:val="00CF5B93"/>
    <w:rPr>
      <w:b/>
      <w:bCs/>
    </w:rPr>
  </w:style>
  <w:style w:type="character" w:customStyle="1" w:styleId="TematkomentarzaZnak">
    <w:name w:val="Temat komentarza Znak"/>
    <w:basedOn w:val="TekstkomentarzaZnak"/>
    <w:link w:val="Tematkomentarza"/>
    <w:uiPriority w:val="99"/>
    <w:semiHidden/>
    <w:rsid w:val="00CF5B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0FD6-23BD-4DA4-8DC7-3029E75F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318</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Szpital</cp:lastModifiedBy>
  <cp:revision>150</cp:revision>
  <cp:lastPrinted>2020-09-30T07:35:00Z</cp:lastPrinted>
  <dcterms:created xsi:type="dcterms:W3CDTF">2019-08-09T11:16:00Z</dcterms:created>
  <dcterms:modified xsi:type="dcterms:W3CDTF">2020-11-04T13:56:00Z</dcterms:modified>
</cp:coreProperties>
</file>