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64BA" w14:textId="77777777" w:rsidR="00735675" w:rsidRDefault="00735675" w:rsidP="002B704E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5D492CF3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24CB6C45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563B0D">
        <w:rPr>
          <w:rFonts w:ascii="Calibri" w:hAnsi="Calibri" w:cs="Calibri"/>
          <w:bCs/>
          <w:sz w:val="22"/>
          <w:szCs w:val="22"/>
          <w:lang w:eastAsia="zh-CN"/>
        </w:rPr>
        <w:t>30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9D5E43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427A32F6" w:rsidR="00B2100A" w:rsidRDefault="00B2100A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563B0D">
        <w:rPr>
          <w:rFonts w:ascii="Calibri" w:eastAsia="Calibri" w:hAnsi="Calibri" w:cs="Calibri"/>
          <w:color w:val="000000"/>
          <w:sz w:val="22"/>
          <w:szCs w:val="22"/>
        </w:rPr>
        <w:t>62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72623949" w14:textId="77777777" w:rsidR="009D5E43" w:rsidRDefault="009D5E43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25AB4DF7" w14:textId="77777777" w:rsidR="009D5E43" w:rsidRDefault="009D5E43" w:rsidP="009D5E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33A19088" w14:textId="77777777" w:rsidR="00563B0D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D01AA2" w:rsidRPr="00D01AA2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41BFE281" w14:textId="56D139C1" w:rsidR="00D01AA2" w:rsidRPr="00D01AA2" w:rsidRDefault="00D01AA2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D01AA2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</w:t>
      </w:r>
    </w:p>
    <w:bookmarkEnd w:id="1"/>
    <w:bookmarkEnd w:id="2"/>
    <w:p w14:paraId="7DF84D7C" w14:textId="26A75AF7" w:rsidR="00735675" w:rsidRDefault="00563B0D" w:rsidP="00B2100A">
      <w:pPr>
        <w:widowControl w:val="0"/>
        <w:suppressAutoHyphens/>
        <w:autoSpaceDE w:val="0"/>
        <w:autoSpaceDN w:val="0"/>
        <w:textAlignment w:val="baseline"/>
        <w:rPr>
          <w:rFonts w:cstheme="minorHAnsi"/>
          <w:b/>
          <w:i/>
          <w:lang w:eastAsia="zh-CN"/>
        </w:rPr>
      </w:pPr>
      <w:r w:rsidRPr="00064D29">
        <w:rPr>
          <w:rFonts w:cstheme="minorHAnsi"/>
          <w:b/>
          <w:i/>
          <w:lang w:eastAsia="zh-CN"/>
        </w:rPr>
        <w:t>DOSTAWA SYSTEMU ZAMKNIĘTEGO DO POBIERANIA PRÓBEK KRWI ŻYLNEJ WRAZ Z NIEZBĘDNYMI</w:t>
      </w:r>
      <w:r>
        <w:rPr>
          <w:rFonts w:cstheme="minorHAnsi"/>
          <w:b/>
          <w:i/>
          <w:lang w:eastAsia="zh-CN"/>
        </w:rPr>
        <w:t xml:space="preserve"> </w:t>
      </w:r>
      <w:r w:rsidRPr="00064D29">
        <w:rPr>
          <w:rFonts w:cstheme="minorHAnsi"/>
          <w:b/>
          <w:i/>
          <w:lang w:eastAsia="zh-CN"/>
        </w:rPr>
        <w:t>AKCESORIAMI, TECHNIKĄ  PRÓŻNIOWĄ</w:t>
      </w:r>
    </w:p>
    <w:p w14:paraId="139CA644" w14:textId="77777777" w:rsidR="00563B0D" w:rsidRDefault="00563B0D" w:rsidP="00B2100A">
      <w:pPr>
        <w:widowControl w:val="0"/>
        <w:suppressAutoHyphens/>
        <w:autoSpaceDE w:val="0"/>
        <w:autoSpaceDN w:val="0"/>
        <w:textAlignment w:val="baseline"/>
        <w:rPr>
          <w:rFonts w:cstheme="minorHAnsi"/>
          <w:b/>
          <w:i/>
          <w:lang w:eastAsia="zh-CN"/>
        </w:rPr>
      </w:pPr>
    </w:p>
    <w:p w14:paraId="2BD3B8BF" w14:textId="77777777" w:rsidR="00563B0D" w:rsidRPr="008357B3" w:rsidRDefault="00563B0D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5EB25F4C" w:rsidR="009D5E43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9D5E43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3" w:name="_Hlk123803443"/>
      <w:bookmarkStart w:id="4" w:name="_Hlk123803317"/>
      <w:r w:rsidRPr="009D5E43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3"/>
      <w:r w:rsidRPr="009D5E43">
        <w:rPr>
          <w:rFonts w:ascii="Calibri" w:eastAsia="Calibri" w:hAnsi="Calibri" w:cs="Calibri"/>
          <w:sz w:val="22"/>
          <w:szCs w:val="22"/>
          <w:lang w:eastAsia="en-US"/>
        </w:rPr>
        <w:t>w zakresie</w:t>
      </w:r>
      <w:r w:rsidR="00D01AA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D5E43">
        <w:rPr>
          <w:rFonts w:ascii="Calibri" w:eastAsia="Calibri" w:hAnsi="Calibri" w:cs="Calibri"/>
          <w:sz w:val="22"/>
          <w:szCs w:val="22"/>
          <w:lang w:eastAsia="en-US"/>
        </w:rPr>
        <w:t>:</w:t>
      </w:r>
      <w:bookmarkEnd w:id="4"/>
    </w:p>
    <w:p w14:paraId="25D0D64C" w14:textId="77777777" w:rsidR="004E4AAE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62A265DC" w14:textId="07A19D0A" w:rsidR="00563B0D" w:rsidRDefault="00563B0D" w:rsidP="00563B0D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563B0D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Załącznik nr 2 do SWZ – Formularz ofertowy</w:t>
      </w:r>
      <w:r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w Tabeli asortymentowej </w:t>
      </w:r>
      <w:r w:rsidR="001F7BC0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w </w:t>
      </w:r>
      <w:r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poz. 6</w:t>
      </w:r>
    </w:p>
    <w:p w14:paraId="1D849276" w14:textId="09442877" w:rsidR="00563B0D" w:rsidRDefault="00563B0D" w:rsidP="00563B0D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było:</w:t>
      </w:r>
    </w:p>
    <w:p w14:paraId="11A60258" w14:textId="77777777" w:rsidR="004E4AAE" w:rsidRDefault="004E4AAE" w:rsidP="00563B0D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7513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559"/>
      </w:tblGrid>
      <w:tr w:rsidR="00563B0D" w:rsidRPr="00563B0D" w14:paraId="3B2D6A2B" w14:textId="77777777" w:rsidTr="00563B0D">
        <w:trPr>
          <w:cantSplit/>
          <w:trHeight w:val="42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5B242666" w14:textId="77777777" w:rsidR="00563B0D" w:rsidRPr="00563B0D" w:rsidRDefault="00563B0D" w:rsidP="00563B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3B0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4E1F5D8" w14:textId="77777777" w:rsidR="00563B0D" w:rsidRPr="00563B0D" w:rsidRDefault="00563B0D" w:rsidP="0056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IDFont+F4" w:hAnsiTheme="minorHAnsi" w:cstheme="minorBidi"/>
                <w:sz w:val="22"/>
                <w:lang w:eastAsia="en-US"/>
              </w:rPr>
            </w:pPr>
            <w:r w:rsidRPr="00563B0D">
              <w:rPr>
                <w:rFonts w:asciiTheme="minorHAnsi" w:eastAsia="CIDFont+F4" w:hAnsiTheme="minorHAnsi" w:cstheme="minorBidi"/>
                <w:sz w:val="22"/>
                <w:lang w:eastAsia="en-US"/>
              </w:rPr>
              <w:t xml:space="preserve">Probówka na surowicę z aktywatorem skrzepu (bez żelu separującego), do badań immunohematologicznych </w:t>
            </w:r>
          </w:p>
          <w:p w14:paraId="3BA10A54" w14:textId="77777777" w:rsidR="00563B0D" w:rsidRPr="00563B0D" w:rsidRDefault="00563B0D" w:rsidP="00563B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ind w:left="360"/>
              <w:contextualSpacing/>
              <w:rPr>
                <w:rFonts w:eastAsia="CIDFont+F4"/>
                <w:bCs/>
                <w:kern w:val="2"/>
                <w:sz w:val="22"/>
                <w:lang w:eastAsia="zh-CN"/>
              </w:rPr>
            </w:pPr>
            <w:r w:rsidRPr="00563B0D">
              <w:rPr>
                <w:rFonts w:eastAsia="CIDFont+F4"/>
                <w:bCs/>
                <w:kern w:val="2"/>
                <w:sz w:val="22"/>
                <w:lang w:eastAsia="zh-CN"/>
              </w:rPr>
              <w:t>objętość 7,5 – 10 ml:</w:t>
            </w:r>
          </w:p>
          <w:p w14:paraId="2C160E76" w14:textId="77777777" w:rsidR="00563B0D" w:rsidRPr="00563B0D" w:rsidRDefault="00563B0D" w:rsidP="00563B0D">
            <w:pPr>
              <w:tabs>
                <w:tab w:val="left" w:pos="9000"/>
              </w:tabs>
              <w:ind w:left="360"/>
              <w:contextualSpacing/>
              <w:jc w:val="both"/>
              <w:rPr>
                <w:rFonts w:eastAsia="Calibri" w:cstheme="minorHAnsi"/>
                <w:kern w:val="2"/>
                <w:sz w:val="22"/>
                <w:szCs w:val="22"/>
                <w:lang w:eastAsia="zh-CN"/>
              </w:rPr>
            </w:pPr>
            <w:r w:rsidRPr="00563B0D">
              <w:rPr>
                <w:rFonts w:eastAsia="CIDFont+F4"/>
                <w:bCs/>
                <w:kern w:val="2"/>
                <w:sz w:val="22"/>
                <w:lang w:eastAsia="zh-CN"/>
              </w:rPr>
              <w:t>średnica 16 mm, wysokość - 90 – 100mm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58574" w14:textId="77777777" w:rsidR="00563B0D" w:rsidRPr="00563B0D" w:rsidRDefault="00563B0D" w:rsidP="00563B0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63B0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4 2000</w:t>
            </w:r>
          </w:p>
        </w:tc>
      </w:tr>
    </w:tbl>
    <w:p w14:paraId="60117C8B" w14:textId="0E3FAB65" w:rsidR="00563B0D" w:rsidRDefault="00563B0D" w:rsidP="00563B0D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07326C9" w14:textId="77777777" w:rsidR="00563B0D" w:rsidRDefault="00563B0D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29D289ED" w14:textId="6EB41354" w:rsidR="00563B0D" w:rsidRDefault="00563B0D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jest:</w:t>
      </w:r>
    </w:p>
    <w:p w14:paraId="2425F854" w14:textId="77777777" w:rsidR="00563B0D" w:rsidRDefault="00563B0D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2AD768A1" w14:textId="77777777" w:rsidR="00563B0D" w:rsidRDefault="00563B0D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tbl>
      <w:tblPr>
        <w:tblW w:w="7406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5184"/>
        <w:gridCol w:w="1481"/>
      </w:tblGrid>
      <w:tr w:rsidR="00563B0D" w:rsidRPr="00563B0D" w14:paraId="78EF6E8C" w14:textId="77777777" w:rsidTr="00563B0D">
        <w:trPr>
          <w:cantSplit/>
          <w:trHeight w:val="42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44A6D80B" w14:textId="77777777" w:rsidR="00563B0D" w:rsidRPr="00563B0D" w:rsidRDefault="00563B0D" w:rsidP="00723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3B0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BAF9DC" w14:textId="77777777" w:rsidR="00563B0D" w:rsidRPr="00563B0D" w:rsidRDefault="00563B0D" w:rsidP="00723F2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IDFont+F4" w:hAnsiTheme="minorHAnsi" w:cstheme="minorBidi"/>
                <w:sz w:val="22"/>
                <w:lang w:eastAsia="en-US"/>
              </w:rPr>
            </w:pPr>
            <w:r w:rsidRPr="00563B0D">
              <w:rPr>
                <w:rFonts w:asciiTheme="minorHAnsi" w:eastAsia="CIDFont+F4" w:hAnsiTheme="minorHAnsi" w:cstheme="minorBidi"/>
                <w:sz w:val="22"/>
                <w:lang w:eastAsia="en-US"/>
              </w:rPr>
              <w:t xml:space="preserve">Probówka na surowicę z aktywatorem skrzepu (bez żelu separującego), do badań immunohematologicznych </w:t>
            </w:r>
          </w:p>
          <w:p w14:paraId="53103AEC" w14:textId="77777777" w:rsidR="00563B0D" w:rsidRPr="00563B0D" w:rsidRDefault="00563B0D" w:rsidP="00723F2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ind w:left="360"/>
              <w:contextualSpacing/>
              <w:rPr>
                <w:rFonts w:eastAsia="CIDFont+F4"/>
                <w:bCs/>
                <w:kern w:val="2"/>
                <w:sz w:val="22"/>
                <w:lang w:eastAsia="zh-CN"/>
              </w:rPr>
            </w:pPr>
            <w:r w:rsidRPr="00563B0D">
              <w:rPr>
                <w:rFonts w:eastAsia="CIDFont+F4"/>
                <w:bCs/>
                <w:kern w:val="2"/>
                <w:sz w:val="22"/>
                <w:lang w:eastAsia="zh-CN"/>
              </w:rPr>
              <w:t>objętość 7,5 – 10 ml:</w:t>
            </w:r>
          </w:p>
          <w:p w14:paraId="30B14CF2" w14:textId="7B4E07AE" w:rsidR="00563B0D" w:rsidRPr="00563B0D" w:rsidRDefault="00563B0D" w:rsidP="00723F2A">
            <w:pPr>
              <w:tabs>
                <w:tab w:val="left" w:pos="9000"/>
              </w:tabs>
              <w:ind w:left="360"/>
              <w:contextualSpacing/>
              <w:jc w:val="both"/>
              <w:rPr>
                <w:rFonts w:eastAsia="Calibri" w:cstheme="minorHAnsi"/>
                <w:kern w:val="2"/>
                <w:sz w:val="22"/>
                <w:szCs w:val="22"/>
                <w:lang w:eastAsia="zh-CN"/>
              </w:rPr>
            </w:pPr>
            <w:r w:rsidRPr="00563B0D">
              <w:rPr>
                <w:rFonts w:eastAsia="CIDFont+F4"/>
                <w:bCs/>
                <w:kern w:val="2"/>
                <w:sz w:val="22"/>
                <w:lang w:eastAsia="zh-CN"/>
              </w:rPr>
              <w:t>średnica 16 mm, wysokość - 90 – 100</w:t>
            </w:r>
            <w:r>
              <w:rPr>
                <w:rFonts w:eastAsia="CIDFont+F4"/>
                <w:bCs/>
                <w:kern w:val="2"/>
                <w:sz w:val="22"/>
                <w:lang w:eastAsia="zh-CN"/>
              </w:rPr>
              <w:t xml:space="preserve"> </w:t>
            </w:r>
            <w:r w:rsidRPr="00563B0D">
              <w:rPr>
                <w:rFonts w:eastAsia="CIDFont+F4"/>
                <w:bCs/>
                <w:kern w:val="2"/>
                <w:sz w:val="22"/>
                <w:lang w:eastAsia="zh-CN"/>
              </w:rPr>
              <w:t>mm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1B842" w14:textId="1470F902" w:rsidR="00563B0D" w:rsidRPr="00563B0D" w:rsidRDefault="00563B0D" w:rsidP="00723F2A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563B0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4 200</w:t>
            </w:r>
          </w:p>
        </w:tc>
      </w:tr>
    </w:tbl>
    <w:p w14:paraId="45FD1D63" w14:textId="77777777" w:rsidR="00563B0D" w:rsidRDefault="00563B0D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54AA929" w14:textId="3F8F6622" w:rsidR="00563B0D" w:rsidRDefault="00563B0D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załączeniu zmieniony załącznik nr 2 do SWZ</w:t>
      </w:r>
    </w:p>
    <w:p w14:paraId="17ACB69D" w14:textId="77777777" w:rsidR="00563B0D" w:rsidRDefault="00563B0D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A437902" w14:textId="1C482B2A" w:rsidR="00D01AA2" w:rsidRPr="008357B3" w:rsidRDefault="00D01AA2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wchodzą z dniem podpisania. Pozostałe zapisy SWZ pozostają bez zmian.</w:t>
      </w:r>
    </w:p>
    <w:sectPr w:rsidR="00D01AA2" w:rsidRPr="008357B3" w:rsidSect="007C2FA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EA1B" w14:textId="77777777" w:rsidR="007C2FAF" w:rsidRDefault="007C2FAF" w:rsidP="00E13AEB">
      <w:r>
        <w:separator/>
      </w:r>
    </w:p>
  </w:endnote>
  <w:endnote w:type="continuationSeparator" w:id="0">
    <w:p w14:paraId="68D4301D" w14:textId="77777777" w:rsidR="007C2FAF" w:rsidRDefault="007C2FA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D6D0" w14:textId="77777777" w:rsidR="007C2FAF" w:rsidRDefault="007C2FAF" w:rsidP="00E13AEB">
      <w:r>
        <w:separator/>
      </w:r>
    </w:p>
  </w:footnote>
  <w:footnote w:type="continuationSeparator" w:id="0">
    <w:p w14:paraId="39CE531F" w14:textId="77777777" w:rsidR="007C2FAF" w:rsidRDefault="007C2FA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7B7A384C"/>
    <w:multiLevelType w:val="hybridMultilevel"/>
    <w:tmpl w:val="D9CCEDB4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  <w:num w:numId="11" w16cid:durableId="1010640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B37A1"/>
    <w:rsid w:val="001F7BC0"/>
    <w:rsid w:val="00206F44"/>
    <w:rsid w:val="002B704E"/>
    <w:rsid w:val="002F3872"/>
    <w:rsid w:val="004245EA"/>
    <w:rsid w:val="00472AB8"/>
    <w:rsid w:val="004E4AAE"/>
    <w:rsid w:val="00563B0D"/>
    <w:rsid w:val="00595C96"/>
    <w:rsid w:val="006F6A49"/>
    <w:rsid w:val="00704A17"/>
    <w:rsid w:val="00707815"/>
    <w:rsid w:val="00712033"/>
    <w:rsid w:val="0071286C"/>
    <w:rsid w:val="00735675"/>
    <w:rsid w:val="007C2FAF"/>
    <w:rsid w:val="007F3776"/>
    <w:rsid w:val="008357B3"/>
    <w:rsid w:val="008E3EEC"/>
    <w:rsid w:val="0090308F"/>
    <w:rsid w:val="009D5E43"/>
    <w:rsid w:val="009E4D27"/>
    <w:rsid w:val="009E5C26"/>
    <w:rsid w:val="00A5153F"/>
    <w:rsid w:val="00A75485"/>
    <w:rsid w:val="00A960F6"/>
    <w:rsid w:val="00AD08B6"/>
    <w:rsid w:val="00AE787C"/>
    <w:rsid w:val="00AF2AF1"/>
    <w:rsid w:val="00AF3060"/>
    <w:rsid w:val="00B2100A"/>
    <w:rsid w:val="00C31ED5"/>
    <w:rsid w:val="00C57F63"/>
    <w:rsid w:val="00C636FF"/>
    <w:rsid w:val="00CB40D0"/>
    <w:rsid w:val="00D01AA2"/>
    <w:rsid w:val="00D35703"/>
    <w:rsid w:val="00DB64F6"/>
    <w:rsid w:val="00DC1BAA"/>
    <w:rsid w:val="00DD77D7"/>
    <w:rsid w:val="00DE45B6"/>
    <w:rsid w:val="00E13AEB"/>
    <w:rsid w:val="00E1418A"/>
    <w:rsid w:val="00E72371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2024-04-30T09:59:00Z</cp:lastPrinted>
  <dcterms:created xsi:type="dcterms:W3CDTF">2024-04-30T09:51:00Z</dcterms:created>
  <dcterms:modified xsi:type="dcterms:W3CDTF">2024-04-30T10:05:00Z</dcterms:modified>
</cp:coreProperties>
</file>