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708D" w14:textId="5355FFE0" w:rsidR="00F1255B" w:rsidRDefault="00C942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DZP/TP/78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/2023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14:paraId="6269A032" w14:textId="0C9BFA25" w:rsidR="00F1255B" w:rsidRDefault="00C942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Załącznik nr 2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do SWZ</w:t>
      </w:r>
    </w:p>
    <w:p w14:paraId="0933893E" w14:textId="77777777" w:rsidR="00F1255B" w:rsidRDefault="00C9425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1924B24B" w14:textId="77777777" w:rsidR="00F1255B" w:rsidRDefault="00C94250">
      <w:pPr>
        <w:pStyle w:val="Tekstpodstawowy2"/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</w:t>
      </w:r>
    </w:p>
    <w:p w14:paraId="2FD8A583" w14:textId="77777777" w:rsidR="00F1255B" w:rsidRDefault="00F1255B">
      <w:pPr>
        <w:pStyle w:val="Tekstpodstawowy2"/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5526A42" w14:textId="77777777" w:rsidR="00F1255B" w:rsidRDefault="00C94250">
      <w:pPr>
        <w:spacing w:after="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OŚWIADCZENIE O NIEPODLEGANIU WYKLUCZENIU</w:t>
      </w:r>
    </w:p>
    <w:p w14:paraId="65C32D62" w14:textId="77777777" w:rsidR="00F1255B" w:rsidRDefault="00C94250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którym mowa w art. 125 ust. 1 ustawy z dnia 11 września 2019 r. Pzp</w:t>
      </w:r>
    </w:p>
    <w:p w14:paraId="0BB0E66A" w14:textId="77777777" w:rsidR="00F1255B" w:rsidRDefault="00C9425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składane na potrzeby postępowania o udzielenie zamówienia </w:t>
      </w:r>
      <w:r>
        <w:rPr>
          <w:rFonts w:ascii="Arial" w:hAnsi="Arial" w:cs="Arial"/>
          <w:sz w:val="20"/>
          <w:szCs w:val="20"/>
        </w:rPr>
        <w:t>publicznego prowadzonego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przez: Szpital Powiatowy w Zawierciu </w:t>
      </w:r>
    </w:p>
    <w:p w14:paraId="1C8433DF" w14:textId="77777777" w:rsidR="00F1255B" w:rsidRDefault="00C94250">
      <w:pPr>
        <w:pStyle w:val="Akapitzlist"/>
        <w:widowControl/>
        <w:numPr>
          <w:ilvl w:val="0"/>
          <w:numId w:val="1"/>
        </w:numPr>
        <w:suppressAutoHyphens w:val="0"/>
        <w:autoSpaceDN/>
        <w:spacing w:before="240" w:after="120"/>
        <w:ind w:left="425" w:hanging="425"/>
        <w:jc w:val="both"/>
        <w:textAlignment w:val="auto"/>
        <w:rPr>
          <w:rFonts w:ascii="Arial" w:hAnsi="Arial" w:cs="Arial"/>
          <w:b/>
          <w:bCs/>
          <w:sz w:val="20"/>
        </w:rPr>
      </w:pPr>
      <w:r>
        <w:rPr>
          <w:rFonts w:ascii="Arial" w:eastAsia="Calibri" w:hAnsi="Arial" w:cs="Arial"/>
          <w:sz w:val="20"/>
        </w:rPr>
        <w:t xml:space="preserve">Mając na uwadze </w:t>
      </w:r>
      <w:r>
        <w:rPr>
          <w:rFonts w:ascii="Arial" w:hAnsi="Arial" w:cs="Arial"/>
          <w:sz w:val="20"/>
        </w:rPr>
        <w:t xml:space="preserve">przesłanki wykluczenia z art. 108 ust. 1 pkt 1-6 Pzp, </w:t>
      </w:r>
      <w:r>
        <w:rPr>
          <w:rFonts w:ascii="Arial" w:hAnsi="Arial" w:cs="Arial"/>
          <w:b/>
          <w:bCs/>
          <w:sz w:val="20"/>
        </w:rPr>
        <w:t>oświadczam, że</w:t>
      </w:r>
      <w:r>
        <w:rPr>
          <w:rFonts w:ascii="Arial" w:hAnsi="Arial" w:cs="Arial"/>
          <w:color w:val="00B0F0"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16C6B0CE" w14:textId="77777777" w:rsidR="00F1255B" w:rsidRDefault="00C94250">
      <w:pPr>
        <w:tabs>
          <w:tab w:val="left" w:pos="851"/>
        </w:tabs>
        <w:spacing w:line="360" w:lineRule="auto"/>
        <w:ind w:firstLine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nie podlegam wykluczeniu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 Postępowania</w:t>
      </w:r>
      <w:r>
        <w:rPr>
          <w:rFonts w:ascii="Arial" w:hAnsi="Arial" w:cs="Arial"/>
          <w:sz w:val="20"/>
          <w:szCs w:val="20"/>
        </w:rPr>
        <w:t xml:space="preserve"> na podstawie art. 108 ust. 1 pkt 1 - 6 Pzp</w:t>
      </w:r>
    </w:p>
    <w:p w14:paraId="5F798A8D" w14:textId="77777777" w:rsidR="00F1255B" w:rsidRDefault="00C94250">
      <w:p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zachodzą w stosunku do mnie podstawy wykluczenia z Postępowania</w:t>
      </w:r>
      <w:r>
        <w:rPr>
          <w:rFonts w:ascii="Arial" w:hAnsi="Arial" w:cs="Arial"/>
          <w:color w:val="000000"/>
          <w:sz w:val="20"/>
          <w:szCs w:val="20"/>
        </w:rPr>
        <w:t xml:space="preserve">, o których mowa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art. ……..…. Pzp </w:t>
      </w:r>
      <w:r>
        <w:rPr>
          <w:rFonts w:ascii="Arial" w:hAnsi="Arial" w:cs="Arial"/>
          <w:i/>
          <w:iCs/>
          <w:color w:val="000000"/>
          <w:sz w:val="20"/>
          <w:szCs w:val="20"/>
        </w:rPr>
        <w:t>(podać mającą zastosowanie podstawę wykluczenia)</w:t>
      </w:r>
      <w: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14:paraId="54C53A82" w14:textId="77777777" w:rsidR="00F1255B" w:rsidRDefault="00C9425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 w związku z ww. okolicznością, n</w:t>
      </w:r>
      <w:r>
        <w:rPr>
          <w:rFonts w:ascii="Arial" w:hAnsi="Arial" w:cs="Arial"/>
          <w:sz w:val="20"/>
          <w:szCs w:val="20"/>
        </w:rPr>
        <w:t>a podstawie art. 110 ust. 2 Pzp podjąłem następujące czynności (procedura sanacyjna – samooczyszczenie)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14:paraId="2D626DA9" w14:textId="77777777" w:rsidR="00F1255B" w:rsidRDefault="00C9425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415BD78" w14:textId="77777777" w:rsidR="00F1255B" w:rsidRDefault="00C9425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powyższego przedkładam niżej wymienione środki dowodowe: </w:t>
      </w:r>
    </w:p>
    <w:p w14:paraId="41126C9A" w14:textId="77777777" w:rsidR="00F1255B" w:rsidRDefault="00C9425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14:paraId="7ADD18C6" w14:textId="77777777" w:rsidR="00F1255B" w:rsidRDefault="00C94250">
      <w:pPr>
        <w:spacing w:after="120"/>
        <w:ind w:firstLine="425"/>
        <w:jc w:val="both"/>
        <w:rPr>
          <w:rFonts w:ascii="Arial" w:hAnsi="Arial" w:cs="Arial"/>
          <w:b/>
          <w:i/>
          <w:color w:val="00B0F0"/>
          <w:sz w:val="20"/>
          <w:szCs w:val="20"/>
        </w:rPr>
      </w:pPr>
      <w:r>
        <w:rPr>
          <w:rFonts w:ascii="Arial" w:hAnsi="Arial" w:cs="Arial"/>
          <w:b/>
          <w:i/>
          <w:color w:val="00B0F0"/>
          <w:sz w:val="20"/>
          <w:szCs w:val="20"/>
        </w:rPr>
        <w:t xml:space="preserve">  *niewłaściwe usunąć, w przypadku wyboru opcji 2-giej odpowiednio uzupełnić </w:t>
      </w:r>
    </w:p>
    <w:p w14:paraId="0F0C530D" w14:textId="77777777" w:rsidR="00F1255B" w:rsidRDefault="00F1255B">
      <w:pPr>
        <w:pStyle w:val="Akapitzlist"/>
        <w:spacing w:before="120" w:after="120" w:line="276" w:lineRule="auto"/>
        <w:ind w:left="425"/>
        <w:jc w:val="both"/>
        <w:rPr>
          <w:rFonts w:ascii="Arial" w:hAnsi="Arial" w:cs="Arial"/>
          <w:sz w:val="20"/>
        </w:rPr>
      </w:pPr>
    </w:p>
    <w:p w14:paraId="66DADB95" w14:textId="77777777" w:rsidR="00F1255B" w:rsidRDefault="00C94250">
      <w:pPr>
        <w:pStyle w:val="Akapitzlist"/>
        <w:widowControl/>
        <w:numPr>
          <w:ilvl w:val="0"/>
          <w:numId w:val="1"/>
        </w:numPr>
        <w:suppressAutoHyphens w:val="0"/>
        <w:autoSpaceDN/>
        <w:spacing w:before="240" w:after="120" w:line="276" w:lineRule="auto"/>
        <w:ind w:left="425" w:hanging="425"/>
        <w:contextualSpacing/>
        <w:jc w:val="both"/>
        <w:textAlignment w:val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Mając na uwadze przesłanki wykluczenia zawarte w art. 7 ust. 1 pkt 1-3</w:t>
      </w:r>
      <w:r>
        <w:rPr>
          <w:rFonts w:ascii="Arial" w:hAnsi="Arial" w:cs="Arial"/>
          <w:sz w:val="20"/>
        </w:rPr>
        <w:t xml:space="preserve"> ustawy z dnia 13 kwietnia 2022 r. o szczególnych rozwiązaniach w zakresie przeciwdziałania wspieraniu agresji na Ukrainę oraz służących ochronie bezpieczeństwa narodowego (Dz.U.2022 poz. 835 z późn.zm.) </w:t>
      </w:r>
      <w:r>
        <w:rPr>
          <w:rFonts w:ascii="Arial" w:hAnsi="Arial" w:cs="Arial"/>
          <w:b/>
          <w:sz w:val="20"/>
        </w:rPr>
        <w:t>oświadczam, że:</w:t>
      </w:r>
    </w:p>
    <w:p w14:paraId="7526D65E" w14:textId="77777777" w:rsidR="00F1255B" w:rsidRDefault="00C94250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 podlegam wykluczeniu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 Postępowa</w:t>
      </w:r>
      <w:r>
        <w:rPr>
          <w:rFonts w:ascii="Arial" w:hAnsi="Arial" w:cs="Arial"/>
          <w:b/>
          <w:bCs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na podstawie art. 7 ust. 1 pkt 1-3 ww. ustawy.</w:t>
      </w:r>
    </w:p>
    <w:p w14:paraId="6DFABBEC" w14:textId="77777777" w:rsidR="00F1255B" w:rsidRDefault="00F1255B">
      <w:pPr>
        <w:ind w:left="360"/>
        <w:jc w:val="both"/>
        <w:rPr>
          <w:rFonts w:ascii="Arial" w:eastAsia="Calibri" w:hAnsi="Arial" w:cs="Arial"/>
          <w:b/>
          <w:i/>
          <w:iCs/>
          <w:sz w:val="20"/>
          <w:szCs w:val="20"/>
        </w:rPr>
      </w:pPr>
    </w:p>
    <w:p w14:paraId="47083C9A" w14:textId="77777777" w:rsidR="00F1255B" w:rsidRDefault="00C94250">
      <w:pPr>
        <w:pStyle w:val="Akapitzlist"/>
        <w:widowControl/>
        <w:numPr>
          <w:ilvl w:val="0"/>
          <w:numId w:val="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wszystkie informacje podane powyżej są aktualne i zgodne z prawdą oraz zostały przedstawione z pełną świadomością konsekwencji wprowadzenia zamawiającego </w:t>
      </w:r>
      <w:r>
        <w:rPr>
          <w:rFonts w:ascii="Arial" w:hAnsi="Arial" w:cs="Arial"/>
          <w:sz w:val="20"/>
        </w:rPr>
        <w:br/>
        <w:t>w błąd przy ich przedstawianiu.</w:t>
      </w:r>
    </w:p>
    <w:p w14:paraId="2209C121" w14:textId="77777777" w:rsidR="00F1255B" w:rsidRDefault="00F1255B">
      <w:pPr>
        <w:ind w:left="360"/>
        <w:jc w:val="both"/>
        <w:rPr>
          <w:rFonts w:ascii="Arial" w:eastAsia="Calibri" w:hAnsi="Arial" w:cs="Arial"/>
          <w:b/>
          <w:i/>
          <w:iCs/>
          <w:sz w:val="20"/>
          <w:szCs w:val="20"/>
        </w:rPr>
      </w:pPr>
    </w:p>
    <w:p w14:paraId="6B42D904" w14:textId="77777777" w:rsidR="00F1255B" w:rsidRDefault="00C94250">
      <w:pPr>
        <w:spacing w:after="0"/>
        <w:ind w:left="212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…………………………………………………...</w:t>
      </w:r>
    </w:p>
    <w:p w14:paraId="7E8C59F9" w14:textId="77777777" w:rsidR="00F1255B" w:rsidRDefault="00C9425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kwalifikowany podpis elektroniczny</w:t>
      </w:r>
    </w:p>
    <w:p w14:paraId="69649878" w14:textId="77777777" w:rsidR="00F1255B" w:rsidRDefault="00C94250">
      <w:pPr>
        <w:spacing w:after="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lub podpis zaufany lub podpis osobisty wykonawcy</w:t>
      </w:r>
    </w:p>
    <w:p w14:paraId="533A2CE7" w14:textId="77777777" w:rsidR="00F1255B" w:rsidRDefault="00F1255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79D976AD" w14:textId="77777777" w:rsidR="00F1255B" w:rsidRDefault="00F1255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26AAC61B" w14:textId="77777777" w:rsidR="00F1255B" w:rsidRDefault="00C9425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POUCZENIE</w:t>
      </w:r>
    </w:p>
    <w:p w14:paraId="007ECC02" w14:textId="77777777" w:rsidR="00F1255B" w:rsidRDefault="00C942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O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udzielenie Zamówienia mogą się ubiegać Wykonawcy, którzy nie podlegają wykluczeniu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14:paraId="1B65262C" w14:textId="77777777" w:rsidR="00F1255B" w:rsidRDefault="00C94250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ind w:left="284" w:hanging="284"/>
        <w:textAlignment w:val="auto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lastRenderedPageBreak/>
        <w:t xml:space="preserve">Zamawiający wykluczy z Postępowania Wykonawcę w przypadkach, o których mowa w art. 108 ust. 1 pkt 1) </w:t>
      </w:r>
      <w:r>
        <w:rPr>
          <w:rFonts w:cs="Arial"/>
          <w:b/>
          <w:bCs/>
          <w:color w:val="000000"/>
          <w:sz w:val="18"/>
          <w:szCs w:val="18"/>
        </w:rPr>
        <w:br/>
        <w:t>– 6) Pzp</w:t>
      </w:r>
      <w:r>
        <w:rPr>
          <w:rFonts w:cs="Arial"/>
          <w:color w:val="000000"/>
          <w:sz w:val="18"/>
          <w:szCs w:val="18"/>
        </w:rPr>
        <w:t xml:space="preserve">, tj.: </w:t>
      </w:r>
    </w:p>
    <w:p w14:paraId="1276175E" w14:textId="77777777" w:rsidR="00F1255B" w:rsidRDefault="00C94250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autoSpaceDE w:val="0"/>
        <w:adjustRightInd w:val="0"/>
        <w:spacing w:before="120"/>
        <w:ind w:left="284" w:firstLine="0"/>
        <w:textAlignment w:val="auto"/>
        <w:rPr>
          <w:rFonts w:cs="Arial"/>
          <w:color w:val="000000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>będącego osobą fizyczną, którego prawomocnie skazano z</w:t>
      </w:r>
      <w:r>
        <w:rPr>
          <w:rFonts w:cs="Arial"/>
          <w:color w:val="000000"/>
          <w:sz w:val="15"/>
          <w:szCs w:val="15"/>
        </w:rPr>
        <w:t xml:space="preserve">a przestępstwo: </w:t>
      </w:r>
    </w:p>
    <w:p w14:paraId="576B24A9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color w:val="000000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 xml:space="preserve">udziału w zorganizowanej grupie przestępczej albo związku mającym na celu popełnienie przestępstwa </w:t>
      </w:r>
      <w:r>
        <w:rPr>
          <w:rFonts w:cs="Arial"/>
          <w:color w:val="000000"/>
          <w:sz w:val="15"/>
          <w:szCs w:val="15"/>
        </w:rPr>
        <w:br/>
      </w:r>
      <w:r>
        <w:rPr>
          <w:rFonts w:cs="Arial"/>
          <w:color w:val="000000"/>
          <w:sz w:val="15"/>
          <w:szCs w:val="15"/>
        </w:rPr>
        <w:t xml:space="preserve">lub przestępstwa skarbowego, o którym mowa w art. 258 Kodeksu karnego, </w:t>
      </w:r>
    </w:p>
    <w:p w14:paraId="446A4FBB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color w:val="000000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 xml:space="preserve">handlu ludźmi, o którym mowa w art. 189a Kodeksu karnego, </w:t>
      </w:r>
    </w:p>
    <w:p w14:paraId="3D81A37B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color w:val="000000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 xml:space="preserve">o którym mowa w art. 228-230a, art. 250a Kodeksu karnego, w art. 46-48 ustawy z dnia 25 czerwca 2010r. o sporcie lub </w:t>
      </w:r>
      <w:r>
        <w:rPr>
          <w:rFonts w:cs="Arial"/>
          <w:color w:val="000000"/>
          <w:sz w:val="15"/>
          <w:szCs w:val="15"/>
        </w:rPr>
        <w:br/>
        <w:t xml:space="preserve">w art. </w:t>
      </w:r>
      <w:r>
        <w:rPr>
          <w:rFonts w:cs="Arial"/>
          <w:color w:val="000000"/>
          <w:sz w:val="15"/>
          <w:szCs w:val="15"/>
        </w:rPr>
        <w:t xml:space="preserve">54 ust. 1-4 ustawy z dnia 12 maja 2011 r. o refundacji leków, środków spożywczych specjalnego przeznaczenia żywieniowego oraz wyrobów medycznych, </w:t>
      </w:r>
    </w:p>
    <w:p w14:paraId="31698AC3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>finansowania przestępstwa o charakterze terrorystycznym, o którym mowa w art. 165a Kodeksu karnego, lub przes</w:t>
      </w:r>
      <w:r>
        <w:rPr>
          <w:rFonts w:cs="Arial"/>
          <w:color w:val="000000"/>
          <w:sz w:val="15"/>
          <w:szCs w:val="15"/>
        </w:rPr>
        <w:t xml:space="preserve">tępstwo udaremniania lub utrudniania stwierdzenia przestępnego 5 </w:t>
      </w:r>
      <w:r>
        <w:rPr>
          <w:rFonts w:cs="Arial"/>
          <w:sz w:val="15"/>
          <w:szCs w:val="15"/>
        </w:rPr>
        <w:t xml:space="preserve">pochodzenia pieniędzy lub ukrywania ich pochodzenia, o którym mowa w art. 299 Kodeksu karnego, </w:t>
      </w:r>
    </w:p>
    <w:p w14:paraId="38FD35F4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o charakterze terrorystycznym, o którym mowa w art. 115 § 20 Kodeksu karnego, lub mające na cel</w:t>
      </w:r>
      <w:r>
        <w:rPr>
          <w:rFonts w:cs="Arial"/>
          <w:sz w:val="15"/>
          <w:szCs w:val="15"/>
        </w:rPr>
        <w:t xml:space="preserve">u popełnienie tego przestępstwa, </w:t>
      </w:r>
    </w:p>
    <w:p w14:paraId="650BA6AF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powierzenia wykonywania pracy małoletniemu cudzoziemcowi, o którym mowa w art. 9 ust. 2 ustawy z dnia </w:t>
      </w:r>
      <w:r>
        <w:rPr>
          <w:rFonts w:cs="Arial"/>
          <w:sz w:val="15"/>
          <w:szCs w:val="15"/>
        </w:rPr>
        <w:br/>
        <w:t xml:space="preserve">15 czerwca 2012 r. o skutkach powierzania wykonywania pracy cudzoziemcom przebywającym wbrew przepisom </w:t>
      </w:r>
      <w:r>
        <w:rPr>
          <w:rFonts w:cs="Arial"/>
          <w:sz w:val="15"/>
          <w:szCs w:val="15"/>
        </w:rPr>
        <w:br/>
        <w:t>na terytorium R</w:t>
      </w:r>
      <w:r>
        <w:rPr>
          <w:rFonts w:cs="Arial"/>
          <w:sz w:val="15"/>
          <w:szCs w:val="15"/>
        </w:rPr>
        <w:t>zeczypospolitej Polskiej (</w:t>
      </w:r>
      <w:r>
        <w:rPr>
          <w:rFonts w:cs="Arial"/>
          <w:color w:val="808080" w:themeColor="background1" w:themeShade="80"/>
          <w:sz w:val="15"/>
          <w:szCs w:val="15"/>
        </w:rPr>
        <w:t>t.j. Dz. U. 2021 poz. 1745</w:t>
      </w:r>
      <w:r>
        <w:rPr>
          <w:rFonts w:cs="Arial"/>
          <w:sz w:val="15"/>
          <w:szCs w:val="15"/>
        </w:rPr>
        <w:t xml:space="preserve">), </w:t>
      </w:r>
    </w:p>
    <w:p w14:paraId="0B0667A3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przeciwko obrotowi gospodarczemu, o których mowa w art. 296–307 Kodeksu karnego, przestępstwo oszustwa, </w:t>
      </w:r>
      <w:r>
        <w:rPr>
          <w:rFonts w:cs="Arial"/>
          <w:sz w:val="15"/>
          <w:szCs w:val="15"/>
        </w:rPr>
        <w:br/>
        <w:t>o którym mowa w art. 286 Kodeksu karnego, przestępstwo przeciwko wiarygodności dokumentów, o kt</w:t>
      </w:r>
      <w:r>
        <w:rPr>
          <w:rFonts w:cs="Arial"/>
          <w:sz w:val="15"/>
          <w:szCs w:val="15"/>
        </w:rPr>
        <w:t xml:space="preserve">órych mowa </w:t>
      </w:r>
      <w:r>
        <w:rPr>
          <w:rFonts w:cs="Arial"/>
          <w:sz w:val="15"/>
          <w:szCs w:val="15"/>
        </w:rPr>
        <w:br/>
        <w:t xml:space="preserve">w art. 270–277d Kodeksu karnego, lub przestępstwo skarbowe, </w:t>
      </w:r>
    </w:p>
    <w:p w14:paraId="0FC28673" w14:textId="77777777" w:rsidR="00F1255B" w:rsidRDefault="00C94250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o którym mowa w art. 9 ust. 1 i 3 lub art. 10 ustawy z dnia 15 czerwca 2012 r. o skutkach powierzania wykonywania pracy cudzoziemcom przebywającym wbrew przepisom na terytorium Rzeczy</w:t>
      </w:r>
      <w:r>
        <w:rPr>
          <w:rFonts w:cs="Arial"/>
          <w:sz w:val="15"/>
          <w:szCs w:val="15"/>
        </w:rPr>
        <w:t xml:space="preserve">pospolitej Polskiej; </w:t>
      </w:r>
    </w:p>
    <w:p w14:paraId="34ACA007" w14:textId="77777777" w:rsidR="00F1255B" w:rsidRDefault="00C94250">
      <w:pPr>
        <w:autoSpaceDE w:val="0"/>
        <w:autoSpaceDN w:val="0"/>
        <w:adjustRightInd w:val="0"/>
        <w:spacing w:before="120" w:after="120"/>
        <w:ind w:firstLine="56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– lub za odpowiedni czyn zabroniony określony w przepisach prawa obcego; </w:t>
      </w:r>
    </w:p>
    <w:p w14:paraId="5D83F380" w14:textId="77777777" w:rsidR="00F1255B" w:rsidRDefault="00C94250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>jeżeli</w:t>
      </w:r>
      <w:r>
        <w:rPr>
          <w:rFonts w:cs="Arial"/>
          <w:sz w:val="15"/>
          <w:szCs w:val="15"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</w:t>
      </w:r>
      <w:r>
        <w:rPr>
          <w:rFonts w:cs="Arial"/>
          <w:sz w:val="15"/>
          <w:szCs w:val="15"/>
        </w:rPr>
        <w:br/>
        <w:t>za przestępstwo, o którym mowa w p</w:t>
      </w:r>
      <w:r>
        <w:rPr>
          <w:rFonts w:cs="Arial"/>
          <w:sz w:val="15"/>
          <w:szCs w:val="15"/>
        </w:rPr>
        <w:t xml:space="preserve">kt 1); </w:t>
      </w:r>
    </w:p>
    <w:p w14:paraId="2A214FDD" w14:textId="77777777" w:rsidR="00F1255B" w:rsidRDefault="00C94250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>wobec</w:t>
      </w:r>
      <w:r>
        <w:rPr>
          <w:rFonts w:cs="Arial"/>
          <w:sz w:val="15"/>
          <w:szCs w:val="15"/>
        </w:rPr>
        <w:t xml:space="preserve"> którego wydano prawomocny wyrok sądu lub ostateczną decyzję administracyjną o zaleganiu z uiszczeniem podatków, opłat lub składek na ubezpieczenie społeczne lub zdrowotne, chyba że Wykonawca przed upływem terminu składania ofert dokonał płatn</w:t>
      </w:r>
      <w:r>
        <w:rPr>
          <w:rFonts w:cs="Arial"/>
          <w:sz w:val="15"/>
          <w:szCs w:val="15"/>
        </w:rPr>
        <w:t xml:space="preserve">ości należnych podatków, opłat lub składek na ubezpieczenie społeczne lub zdrowotne wraz z odsetkami lub grzywnami lub zawarł wiążące porozumienie w sprawie spłaty tych należności; </w:t>
      </w:r>
    </w:p>
    <w:p w14:paraId="5B01AD5F" w14:textId="77777777" w:rsidR="00F1255B" w:rsidRDefault="00C94250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>wobec</w:t>
      </w:r>
      <w:r>
        <w:rPr>
          <w:rFonts w:cs="Arial"/>
          <w:sz w:val="15"/>
          <w:szCs w:val="15"/>
        </w:rPr>
        <w:t xml:space="preserve"> którego prawomocnie orzeczono zakaz ubiegania się o zamówienia publi</w:t>
      </w:r>
      <w:r>
        <w:rPr>
          <w:rFonts w:cs="Arial"/>
          <w:sz w:val="15"/>
          <w:szCs w:val="15"/>
        </w:rPr>
        <w:t xml:space="preserve">czne; </w:t>
      </w:r>
    </w:p>
    <w:p w14:paraId="6A64F86A" w14:textId="77777777" w:rsidR="00F1255B" w:rsidRDefault="00C94250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>jeżeli</w:t>
      </w:r>
      <w:r>
        <w:rPr>
          <w:rFonts w:cs="Arial"/>
          <w:sz w:val="15"/>
          <w:szCs w:val="15"/>
        </w:rPr>
        <w:t xml:space="preserve"> Zamawiający może stwierdzić, na podstawie wiarygodnych przesłanek, że Wykonawca zawarł z innymi Wykonawcami porozumienie mające na celu zakłócenie konkurencji, w szczególności jeżeli należąc do tej samej grupy kapitałowej w rozumieniu ustawy </w:t>
      </w:r>
      <w:r>
        <w:rPr>
          <w:rFonts w:cs="Arial"/>
          <w:sz w:val="15"/>
          <w:szCs w:val="15"/>
        </w:rPr>
        <w:t xml:space="preserve">z dnia 16 lutego 2007 r. o ochronie konkurencji i konsumentów, złożyli odrębne oferty, oferty częściowe, chyba że wykażą, że przygotowali te oferty niezależnie od siebie; </w:t>
      </w:r>
    </w:p>
    <w:p w14:paraId="3E9AF1B8" w14:textId="77777777" w:rsidR="00F1255B" w:rsidRDefault="00C94250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autoSpaceDE w:val="0"/>
        <w:adjustRightInd w:val="0"/>
        <w:spacing w:after="120"/>
        <w:ind w:left="568" w:hanging="284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color w:val="000000"/>
          <w:sz w:val="15"/>
          <w:szCs w:val="15"/>
        </w:rPr>
        <w:t>jeżeli</w:t>
      </w:r>
      <w:r>
        <w:rPr>
          <w:rFonts w:cs="Arial"/>
          <w:sz w:val="15"/>
          <w:szCs w:val="15"/>
        </w:rPr>
        <w:t>, w przypadkach, o których mowa w art. 85 ust. 1, doszło do zakłócenia konkure</w:t>
      </w:r>
      <w:r>
        <w:rPr>
          <w:rFonts w:cs="Arial"/>
          <w:sz w:val="15"/>
          <w:szCs w:val="15"/>
        </w:rPr>
        <w:t xml:space="preserve">ncji wynikającego z wcześniejszego zaangażowania tego Wykonawcy lub podmiotu, który należy z Wykonawcą do tej samej grupy kapitałowej w rozumieniu ustawy </w:t>
      </w:r>
      <w:r>
        <w:rPr>
          <w:rFonts w:cs="Arial"/>
          <w:sz w:val="15"/>
          <w:szCs w:val="15"/>
        </w:rPr>
        <w:br/>
        <w:t>z dnia 16 lutego 2007 r. o ochronie konkurencji i konsumentów, chyba że spowodowane tym zakłócenie ko</w:t>
      </w:r>
      <w:r>
        <w:rPr>
          <w:rFonts w:cs="Arial"/>
          <w:sz w:val="15"/>
          <w:szCs w:val="15"/>
        </w:rPr>
        <w:t>nkurencji może być wyeliminowane w inny sposób niż przez wykluczenie Wykonawcy z udziału w postępowaniu o udzielenie zamówienia.</w:t>
      </w:r>
    </w:p>
    <w:p w14:paraId="5937F94F" w14:textId="77777777" w:rsidR="00F1255B" w:rsidRDefault="00C94250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Zamawiający wykluczy z Postępowania Wykonawcę w przypadkach, o których mowa w art. 7 ust. 1 ustawy </w:t>
      </w:r>
      <w:r>
        <w:rPr>
          <w:rFonts w:cs="Arial"/>
          <w:b/>
          <w:bCs/>
          <w:sz w:val="18"/>
          <w:szCs w:val="18"/>
        </w:rPr>
        <w:br/>
        <w:t xml:space="preserve">z dnia 13 kwietnia 2022 r. </w:t>
      </w:r>
      <w:r>
        <w:rPr>
          <w:rFonts w:cs="Arial"/>
          <w:b/>
          <w:bCs/>
          <w:sz w:val="18"/>
          <w:szCs w:val="18"/>
        </w:rPr>
        <w:t xml:space="preserve">o szczególnych rozwiązania w zakresie przeciwdziałania wspieraniu agresji na Ukrainę oraz służących ochronie bezpieczeństwa narodowego </w:t>
      </w:r>
      <w:r>
        <w:rPr>
          <w:rFonts w:cs="Arial"/>
          <w:bCs/>
          <w:sz w:val="18"/>
          <w:szCs w:val="18"/>
        </w:rPr>
        <w:t>(</w:t>
      </w:r>
      <w:r>
        <w:rPr>
          <w:rFonts w:cs="Arial"/>
          <w:bCs/>
          <w:color w:val="808080" w:themeColor="background1" w:themeShade="80"/>
          <w:sz w:val="18"/>
          <w:szCs w:val="18"/>
        </w:rPr>
        <w:t>Dz. U. poz. 835 zpóźn.zm.</w:t>
      </w:r>
      <w:r>
        <w:rPr>
          <w:rFonts w:cs="Arial"/>
          <w:bCs/>
          <w:sz w:val="18"/>
          <w:szCs w:val="18"/>
        </w:rPr>
        <w:t>),</w:t>
      </w:r>
      <w:r>
        <w:rPr>
          <w:rFonts w:cs="Arial"/>
          <w:sz w:val="18"/>
          <w:szCs w:val="18"/>
        </w:rPr>
        <w:t xml:space="preserve"> tj.:</w:t>
      </w:r>
    </w:p>
    <w:p w14:paraId="536420E4" w14:textId="77777777" w:rsidR="00F1255B" w:rsidRDefault="00C94250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ind w:left="568" w:hanging="284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wymienionego w wykazach określonych w rozporządzeniu 765/2006</w:t>
      </w:r>
      <w:r>
        <w:rPr>
          <w:rStyle w:val="Odwoanieprzypisudolnego"/>
          <w:rFonts w:cs="Arial"/>
          <w:sz w:val="15"/>
          <w:szCs w:val="15"/>
        </w:rPr>
        <w:footnoteReference w:id="2"/>
      </w:r>
      <w:r>
        <w:rPr>
          <w:rFonts w:cs="Arial"/>
          <w:sz w:val="15"/>
          <w:szCs w:val="15"/>
        </w:rPr>
        <w:t xml:space="preserve"> i rozporządze</w:t>
      </w:r>
      <w:r>
        <w:rPr>
          <w:rFonts w:cs="Arial"/>
          <w:sz w:val="15"/>
          <w:szCs w:val="15"/>
        </w:rPr>
        <w:t>niu 269/2014</w:t>
      </w:r>
      <w:r>
        <w:rPr>
          <w:rStyle w:val="Odwoanieprzypisudolnego"/>
          <w:rFonts w:cs="Arial"/>
          <w:sz w:val="15"/>
          <w:szCs w:val="15"/>
        </w:rPr>
        <w:footnoteReference w:id="3"/>
      </w:r>
      <w:r>
        <w:rPr>
          <w:rFonts w:cs="Arial"/>
          <w:sz w:val="15"/>
          <w:szCs w:val="15"/>
        </w:rPr>
        <w:t xml:space="preserve"> albo wpisanego na listę na podstawie decyzji w sprawie wpisu na listę rozstrzygającej o zastosowaniu środka, o którym mowa </w:t>
      </w:r>
      <w:r>
        <w:rPr>
          <w:rFonts w:cs="Arial"/>
          <w:sz w:val="15"/>
          <w:szCs w:val="15"/>
        </w:rPr>
        <w:br/>
        <w:t>w art. 1 pkt 3 ww. ustawy;</w:t>
      </w:r>
    </w:p>
    <w:p w14:paraId="434EB8D3" w14:textId="77777777" w:rsidR="00F1255B" w:rsidRDefault="00C94250">
      <w:pPr>
        <w:pStyle w:val="Akapitzlist"/>
        <w:widowControl/>
        <w:numPr>
          <w:ilvl w:val="0"/>
          <w:numId w:val="5"/>
        </w:numPr>
        <w:suppressAutoHyphens w:val="0"/>
        <w:autoSpaceDN/>
        <w:ind w:left="568" w:hanging="284"/>
        <w:jc w:val="both"/>
        <w:textAlignment w:val="auto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Wykonawcę, którego beneficjentem rzeczywistym w rozumieniu </w:t>
      </w:r>
      <w:r>
        <w:rPr>
          <w:rStyle w:val="Uwydatnienie"/>
          <w:rFonts w:cs="Arial"/>
          <w:sz w:val="15"/>
          <w:szCs w:val="15"/>
        </w:rPr>
        <w:t>ustawy</w:t>
      </w:r>
      <w:r>
        <w:rPr>
          <w:rFonts w:cs="Arial"/>
          <w:sz w:val="15"/>
          <w:szCs w:val="15"/>
        </w:rPr>
        <w:t xml:space="preserve"> z dnia 1 marca 2018 r. o </w:t>
      </w:r>
      <w:r>
        <w:rPr>
          <w:rStyle w:val="Uwydatnienie"/>
          <w:rFonts w:cs="Arial"/>
          <w:sz w:val="15"/>
          <w:szCs w:val="15"/>
        </w:rPr>
        <w:t>przeciwdziała</w:t>
      </w:r>
      <w:r>
        <w:rPr>
          <w:rStyle w:val="Uwydatnienie"/>
          <w:rFonts w:cs="Arial"/>
          <w:sz w:val="15"/>
          <w:szCs w:val="15"/>
        </w:rPr>
        <w:t>niu</w:t>
      </w:r>
      <w:r>
        <w:rPr>
          <w:rFonts w:cs="Arial"/>
          <w:sz w:val="15"/>
          <w:szCs w:val="15"/>
        </w:rPr>
        <w:t xml:space="preserve"> praniu pieniędzy oraz finansowaniu terroryzmu (</w:t>
      </w:r>
      <w:r>
        <w:rPr>
          <w:rFonts w:cs="Arial"/>
          <w:color w:val="808080" w:themeColor="background1" w:themeShade="80"/>
          <w:sz w:val="15"/>
          <w:szCs w:val="15"/>
        </w:rPr>
        <w:t>Dz. U. z 2022 r. poz. 593 z późn.zm.</w:t>
      </w:r>
      <w:r>
        <w:rPr>
          <w:rFonts w:cs="Arial"/>
          <w:sz w:val="15"/>
          <w:szCs w:val="15"/>
        </w:rPr>
        <w:t xml:space="preserve">) jest osoba wymieniona w wykazach określonych </w:t>
      </w:r>
      <w:r>
        <w:rPr>
          <w:rFonts w:cs="Arial"/>
          <w:sz w:val="15"/>
          <w:szCs w:val="15"/>
        </w:rPr>
        <w:br/>
        <w:t xml:space="preserve">w rozporządzeniu 765/2006 i rozporządzeniu 269/2014 albo wpisana na listę lub będąca takim beneficjentem rzeczywistym od </w:t>
      </w:r>
      <w:r>
        <w:rPr>
          <w:rFonts w:cs="Arial"/>
          <w:sz w:val="15"/>
          <w:szCs w:val="15"/>
        </w:rPr>
        <w:t xml:space="preserve">dnia 24 lutego 2022 r., o ile została wpisana na listę na podstawie decyzji w sprawie wpisu na listę rozstrzygającej </w:t>
      </w:r>
      <w:r>
        <w:rPr>
          <w:rFonts w:cs="Arial"/>
          <w:sz w:val="15"/>
          <w:szCs w:val="15"/>
        </w:rPr>
        <w:br/>
        <w:t>o zastosowaniu środka, o którym mowa w art. 1 pkt 3 ww. ustawy;</w:t>
      </w:r>
    </w:p>
    <w:p w14:paraId="3E154301" w14:textId="77777777" w:rsidR="00F1255B" w:rsidRDefault="00C94250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ind w:left="568" w:hanging="284"/>
        <w:jc w:val="both"/>
        <w:textAlignment w:val="auto"/>
        <w:rPr>
          <w:rFonts w:ascii="Arial" w:hAnsi="Arial" w:cs="Arial"/>
          <w:b/>
          <w:bCs/>
          <w:sz w:val="15"/>
          <w:szCs w:val="15"/>
        </w:rPr>
      </w:pPr>
      <w:r>
        <w:rPr>
          <w:rFonts w:cs="Arial"/>
          <w:sz w:val="15"/>
          <w:szCs w:val="15"/>
        </w:rPr>
        <w:t xml:space="preserve">Wykonawcę, którego jednostką dominującą w rozumieniu art. 3 ust. 1 pkt 37 </w:t>
      </w:r>
      <w:r>
        <w:rPr>
          <w:rStyle w:val="Uwydatnienie"/>
          <w:rFonts w:cs="Arial"/>
          <w:sz w:val="15"/>
          <w:szCs w:val="15"/>
        </w:rPr>
        <w:t>ustawy</w:t>
      </w:r>
      <w:r>
        <w:rPr>
          <w:rFonts w:cs="Arial"/>
          <w:i/>
          <w:iCs/>
          <w:sz w:val="15"/>
          <w:szCs w:val="15"/>
        </w:rPr>
        <w:t xml:space="preserve"> </w:t>
      </w:r>
      <w:r>
        <w:rPr>
          <w:rFonts w:cs="Arial"/>
          <w:sz w:val="15"/>
          <w:szCs w:val="15"/>
        </w:rPr>
        <w:t xml:space="preserve">z dnia 29 września 1994 r. </w:t>
      </w:r>
      <w:r>
        <w:rPr>
          <w:rFonts w:cs="Arial"/>
          <w:sz w:val="15"/>
          <w:szCs w:val="15"/>
        </w:rPr>
        <w:br/>
        <w:t>o rachunkowości (</w:t>
      </w:r>
      <w:r>
        <w:rPr>
          <w:rFonts w:cs="Arial"/>
          <w:color w:val="808080" w:themeColor="background1" w:themeShade="80"/>
          <w:sz w:val="15"/>
          <w:szCs w:val="15"/>
        </w:rPr>
        <w:t>Dz. U. z 2021 r. poz. 217 z późn.zm.</w:t>
      </w:r>
      <w:r>
        <w:rPr>
          <w:rFonts w:cs="Arial"/>
          <w:sz w:val="15"/>
          <w:szCs w:val="15"/>
        </w:rPr>
        <w:t xml:space="preserve">), jest podmiot wymieniony w wykazach określonych </w:t>
      </w:r>
      <w:r>
        <w:rPr>
          <w:rFonts w:cs="Arial"/>
          <w:sz w:val="15"/>
          <w:szCs w:val="15"/>
        </w:rPr>
        <w:br/>
        <w:t xml:space="preserve">w rozporządzeniu 765/2006 i rozporządzeniu </w:t>
      </w:r>
      <w:r>
        <w:rPr>
          <w:rFonts w:cs="Arial"/>
          <w:sz w:val="15"/>
          <w:szCs w:val="15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sectPr w:rsidR="00F1255B" w:rsidSect="00C94250">
      <w:footerReference w:type="default" r:id="rId8"/>
      <w:pgSz w:w="11906" w:h="16838"/>
      <w:pgMar w:top="19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F67E" w14:textId="77777777" w:rsidR="00F1255B" w:rsidRDefault="00C94250">
      <w:pPr>
        <w:spacing w:line="240" w:lineRule="auto"/>
      </w:pPr>
      <w:r>
        <w:separator/>
      </w:r>
    </w:p>
  </w:endnote>
  <w:endnote w:type="continuationSeparator" w:id="0">
    <w:p w14:paraId="2B811396" w14:textId="77777777" w:rsidR="00F1255B" w:rsidRDefault="00C94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C275" w14:textId="6C21C9D9" w:rsidR="00F1255B" w:rsidRDefault="00C94250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theme="minorHAnsi"/>
        <w:kern w:val="3"/>
        <w:sz w:val="16"/>
        <w:szCs w:val="16"/>
        <w:lang w:eastAsia="zh-CN" w:bidi="hi-IN"/>
      </w:rPr>
    </w:pPr>
    <w:r>
      <w:rPr>
        <w:rFonts w:ascii="Liberation Serif" w:eastAsia="SimSun" w:hAnsi="Liberation Serif" w:cstheme="minorHAnsi"/>
        <w:noProof/>
        <w:kern w:val="3"/>
        <w:sz w:val="16"/>
        <w:szCs w:val="16"/>
        <w:lang w:eastAsia="zh-CN" w:bidi="hi-IN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82.35pt;margin-top:-117.2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  <w:p w14:paraId="39FAB7C7" w14:textId="77777777" w:rsidR="00F1255B" w:rsidRDefault="00F1255B">
    <w:pPr>
      <w:tabs>
        <w:tab w:val="center" w:pos="4536"/>
        <w:tab w:val="right" w:pos="9072"/>
      </w:tabs>
      <w:suppressAutoHyphens/>
      <w:spacing w:after="0" w:line="240" w:lineRule="auto"/>
      <w:rPr>
        <w:rFonts w:ascii="Liberation Serif" w:eastAsia="SimSun" w:hAnsi="Liberation Serif" w:cs="Mangal"/>
        <w:b/>
        <w:bCs/>
        <w:i/>
        <w:iCs/>
        <w:kern w:val="2"/>
        <w:sz w:val="18"/>
        <w:szCs w:val="18"/>
        <w:lang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5AB9" w14:textId="77777777" w:rsidR="00F1255B" w:rsidRDefault="00C94250">
      <w:pPr>
        <w:spacing w:after="0"/>
      </w:pPr>
      <w:r>
        <w:separator/>
      </w:r>
    </w:p>
  </w:footnote>
  <w:footnote w:type="continuationSeparator" w:id="0">
    <w:p w14:paraId="21ABD991" w14:textId="77777777" w:rsidR="00F1255B" w:rsidRDefault="00C94250">
      <w:pPr>
        <w:spacing w:after="0"/>
      </w:pPr>
      <w:r>
        <w:continuationSeparator/>
      </w:r>
    </w:p>
  </w:footnote>
  <w:footnote w:id="1">
    <w:p w14:paraId="5D4B0821" w14:textId="77777777" w:rsidR="00F1255B" w:rsidRDefault="00C9425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Procedura </w:t>
      </w:r>
      <w:r>
        <w:rPr>
          <w:rFonts w:ascii="Arial" w:hAnsi="Arial" w:cs="Arial"/>
          <w:i/>
          <w:iCs/>
          <w:sz w:val="16"/>
          <w:szCs w:val="16"/>
        </w:rPr>
        <w:t>samooczyszczenia dotyczy podstaw wykluczenia z Postępowania określonych w art. 108 ust. 1 pkt 1, 2 i 5 Pzp.</w:t>
      </w:r>
    </w:p>
  </w:footnote>
  <w:footnote w:id="2">
    <w:p w14:paraId="2283C177" w14:textId="77777777" w:rsidR="00F1255B" w:rsidRDefault="00C94250">
      <w:pPr>
        <w:spacing w:after="0"/>
        <w:ind w:left="142" w:hanging="142"/>
        <w:jc w:val="both"/>
        <w:rPr>
          <w:rFonts w:ascii="Calibri" w:hAnsi="Calibri" w:cs="Calibri"/>
          <w:i/>
          <w:sz w:val="13"/>
          <w:szCs w:val="13"/>
        </w:rPr>
      </w:pPr>
      <w:r>
        <w:rPr>
          <w:rStyle w:val="Odwoanieprzypisudolnego"/>
          <w:rFonts w:ascii="Calibri" w:hAnsi="Calibri" w:cs="Calibri"/>
          <w:sz w:val="13"/>
          <w:szCs w:val="13"/>
        </w:rPr>
        <w:footnoteRef/>
      </w:r>
      <w:r>
        <w:rPr>
          <w:rFonts w:ascii="Calibri" w:hAnsi="Calibri" w:cs="Calibri"/>
          <w:sz w:val="13"/>
          <w:szCs w:val="13"/>
        </w:rPr>
        <w:t xml:space="preserve"> </w:t>
      </w:r>
      <w:r>
        <w:rPr>
          <w:rFonts w:ascii="Calibri" w:hAnsi="Calibri" w:cs="Calibri"/>
          <w:i/>
          <w:sz w:val="13"/>
          <w:szCs w:val="13"/>
        </w:rPr>
        <w:t xml:space="preserve">tj. w </w:t>
      </w:r>
      <w:r>
        <w:rPr>
          <w:rFonts w:ascii="Calibri" w:hAnsi="Calibri" w:cs="Calibri"/>
          <w:i/>
          <w:iCs/>
          <w:sz w:val="13"/>
          <w:szCs w:val="13"/>
        </w:rPr>
        <w:t>Rozporządzeniu Rady (WE) nr 765/2006 z dnia 18 maja 2006 r. dotyczącym  środków ograniczających w związku z sytuacją na Białorusi i udziałem</w:t>
      </w:r>
      <w:r>
        <w:rPr>
          <w:rFonts w:ascii="Calibri" w:hAnsi="Calibri" w:cs="Calibri"/>
          <w:i/>
          <w:iCs/>
          <w:sz w:val="13"/>
          <w:szCs w:val="13"/>
        </w:rPr>
        <w:t xml:space="preserve"> Białorusi w </w:t>
      </w:r>
      <w:r>
        <w:rPr>
          <w:rStyle w:val="Uwydatnienie"/>
          <w:rFonts w:ascii="Calibri" w:hAnsi="Calibri" w:cs="Calibri"/>
          <w:sz w:val="13"/>
          <w:szCs w:val="13"/>
        </w:rPr>
        <w:t>agresji</w:t>
      </w:r>
      <w:r>
        <w:rPr>
          <w:rFonts w:ascii="Calibri" w:hAnsi="Calibri" w:cs="Calibri"/>
          <w:i/>
          <w:iCs/>
          <w:sz w:val="13"/>
          <w:szCs w:val="13"/>
        </w:rPr>
        <w:t xml:space="preserve"> Rosji wobec Ukrainy (Dz. Urz. UE L 134 z 20.05.2006, str. 1, z późn. zm).</w:t>
      </w:r>
    </w:p>
  </w:footnote>
  <w:footnote w:id="3">
    <w:p w14:paraId="33A1C627" w14:textId="77777777" w:rsidR="00F1255B" w:rsidRDefault="00C94250">
      <w:pPr>
        <w:pStyle w:val="Tekstprzypisudolnego"/>
        <w:ind w:left="142" w:hanging="142"/>
        <w:rPr>
          <w:i/>
          <w:sz w:val="13"/>
          <w:szCs w:val="13"/>
        </w:rPr>
      </w:pPr>
      <w:r>
        <w:rPr>
          <w:rStyle w:val="Odwoanieprzypisudolnego"/>
          <w:rFonts w:ascii="Calibri" w:hAnsi="Calibri" w:cs="Calibri"/>
          <w:sz w:val="13"/>
          <w:szCs w:val="13"/>
        </w:rPr>
        <w:footnoteRef/>
      </w:r>
      <w:r>
        <w:rPr>
          <w:rFonts w:ascii="Calibri" w:hAnsi="Calibri" w:cs="Calibri"/>
          <w:i/>
          <w:sz w:val="13"/>
          <w:szCs w:val="13"/>
        </w:rPr>
        <w:t xml:space="preserve"> tj. w </w:t>
      </w:r>
      <w:r>
        <w:rPr>
          <w:rFonts w:ascii="Calibri" w:hAnsi="Calibri" w:cs="Calibri"/>
          <w:i/>
          <w:iCs/>
          <w:sz w:val="13"/>
          <w:szCs w:val="13"/>
        </w:rPr>
        <w:t>Rozporządzeniu Rady (UE) nr 269/2014 z dnia 17 marca 2014 r. w sprawie środków ograniczających w odniesieniu do działań podważających integralność teryto</w:t>
      </w:r>
      <w:r>
        <w:rPr>
          <w:rFonts w:ascii="Calibri" w:hAnsi="Calibri" w:cs="Calibri"/>
          <w:i/>
          <w:iCs/>
          <w:sz w:val="13"/>
          <w:szCs w:val="13"/>
        </w:rPr>
        <w:t>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7C39"/>
    <w:multiLevelType w:val="multilevel"/>
    <w:tmpl w:val="3DDD7C39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  <w:sz w:val="15"/>
        <w:szCs w:val="15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F50F40"/>
    <w:multiLevelType w:val="multilevel"/>
    <w:tmpl w:val="49F50F40"/>
    <w:lvl w:ilvl="0">
      <w:start w:val="1"/>
      <w:numFmt w:val="decimal"/>
      <w:lvlText w:val="%1)"/>
      <w:lvlJc w:val="left"/>
      <w:pPr>
        <w:ind w:left="1146" w:hanging="360"/>
      </w:pPr>
      <w:rPr>
        <w:rFonts w:ascii="Ubuntu" w:hAnsi="Ubuntu" w:cs="Arial" w:hint="default"/>
        <w:b/>
        <w:bCs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355A"/>
    <w:multiLevelType w:val="multilevel"/>
    <w:tmpl w:val="5968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00B9"/>
    <w:multiLevelType w:val="multilevel"/>
    <w:tmpl w:val="633A00B9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7379A5"/>
    <w:multiLevelType w:val="multilevel"/>
    <w:tmpl w:val="797379A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z w:val="15"/>
        <w:szCs w:val="15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359145">
    <w:abstractNumId w:val="1"/>
  </w:num>
  <w:num w:numId="2" w16cid:durableId="1692801029">
    <w:abstractNumId w:val="2"/>
  </w:num>
  <w:num w:numId="3" w16cid:durableId="1473446016">
    <w:abstractNumId w:val="0"/>
  </w:num>
  <w:num w:numId="4" w16cid:durableId="1298533144">
    <w:abstractNumId w:val="3"/>
  </w:num>
  <w:num w:numId="5" w16cid:durableId="1070158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CA8"/>
    <w:rsid w:val="000B0E68"/>
    <w:rsid w:val="000D1AF9"/>
    <w:rsid w:val="0034584F"/>
    <w:rsid w:val="00386E22"/>
    <w:rsid w:val="005D4B07"/>
    <w:rsid w:val="00667686"/>
    <w:rsid w:val="006D203A"/>
    <w:rsid w:val="00A5489A"/>
    <w:rsid w:val="00B55E92"/>
    <w:rsid w:val="00C94250"/>
    <w:rsid w:val="00E160EC"/>
    <w:rsid w:val="00ED2694"/>
    <w:rsid w:val="00F1255B"/>
    <w:rsid w:val="00F66CA8"/>
    <w:rsid w:val="19D2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0D87EF"/>
  <w15:docId w15:val="{2A9BFCF5-AD12-4745-B4B3-DCCFAD1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99"/>
    <w:qFormat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 w:bidi="hi-IN"/>
    </w:rPr>
  </w:style>
  <w:style w:type="character" w:customStyle="1" w:styleId="Tekstpodstawowy2Znak">
    <w:name w:val="Tekst podstawowy 2 Znak"/>
    <w:basedOn w:val="Domylnaczcionkaakapitu"/>
    <w:link w:val="Tekstpodstawowy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rPr>
      <w:rFonts w:ascii="Times New Roman" w:eastAsia="Times New Roman" w:hAnsi="Times New Roman" w:cs="Times New Roman"/>
      <w:kern w:val="3"/>
      <w:sz w:val="24"/>
      <w:szCs w:val="20"/>
      <w:lang w:eastAsia="pl-PL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1535-D7B2-4FCA-8F4E-6717C3A3C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1047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Kasandra Kurdek</cp:lastModifiedBy>
  <cp:revision>5</cp:revision>
  <dcterms:created xsi:type="dcterms:W3CDTF">2023-02-28T08:01:00Z</dcterms:created>
  <dcterms:modified xsi:type="dcterms:W3CDTF">2023-08-30T10:45:00Z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53E8B0EC1ED940D68A2586B6837414C4</vt:lpwstr>
  </property>
</Properties>
</file>