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EZP-252-1</w:t>
      </w:r>
      <w:r>
        <w:rPr>
          <w:rFonts w:hint="default" w:ascii="Arial" w:hAnsi="Arial" w:cs="Arial"/>
          <w:b/>
          <w:bCs/>
          <w:iCs/>
          <w:lang w:val="pl-PL"/>
        </w:rPr>
        <w:t>1</w:t>
      </w:r>
      <w:r>
        <w:rPr>
          <w:rFonts w:ascii="Arial" w:hAnsi="Arial" w:cs="Arial"/>
          <w:b/>
          <w:bCs/>
          <w:iCs/>
        </w:rPr>
        <w:t>/202</w:t>
      </w:r>
      <w:r>
        <w:rPr>
          <w:rFonts w:hint="default" w:ascii="Arial" w:hAnsi="Arial" w:cs="Arial"/>
          <w:b/>
          <w:bCs/>
          <w:iCs/>
          <w:lang w:val="pl-PL"/>
        </w:rPr>
        <w:t>3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   Załącznik nr 10 do SWZ</w:t>
      </w: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>
      <w:pPr>
        <w:pStyle w:val="24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>
      <w:pPr>
        <w:pStyle w:val="24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>
      <w:pPr>
        <w:pStyle w:val="24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>
      <w:pPr>
        <w:pStyle w:val="24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>
      <w:pPr>
        <w:pStyle w:val="24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>
      <w:pPr>
        <w:pStyle w:val="24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>
      <w:pPr>
        <w:pStyle w:val="24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>
      <w:pPr>
        <w:pStyle w:val="24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>
      <w:pPr>
        <w:pStyle w:val="24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>
      <w:pPr>
        <w:pStyle w:val="24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>
      <w:pPr>
        <w:pStyle w:val="24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</w:p>
    <w:p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>
        <w:rPr>
          <w:rFonts w:ascii="Arial" w:hAnsi="Arial" w:cs="Arial"/>
          <w:b/>
          <w:i/>
          <w:sz w:val="26"/>
          <w:szCs w:val="26"/>
          <w:u w:val="single"/>
        </w:rPr>
        <w:t xml:space="preserve">Oświadczenie podmiotu </w:t>
      </w:r>
      <w:r>
        <w:rPr>
          <w:rFonts w:ascii="Arial" w:hAnsi="Arial" w:cs="Arial"/>
          <w:b/>
          <w:i/>
          <w:sz w:val="26"/>
          <w:szCs w:val="26"/>
          <w:u w:val="single"/>
          <w:lang w:val="pl-PL"/>
        </w:rPr>
        <w:t>udostępniającego</w:t>
      </w:r>
      <w:r>
        <w:rPr>
          <w:rFonts w:ascii="Arial" w:hAnsi="Arial" w:cs="Arial"/>
          <w:b/>
          <w:i/>
          <w:sz w:val="26"/>
          <w:szCs w:val="26"/>
          <w:u w:val="single"/>
        </w:rPr>
        <w:t xml:space="preserve"> zasoby</w:t>
      </w:r>
    </w:p>
    <w:p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</w:rPr>
        <w:t xml:space="preserve">o aktualności informacji zawartych w oświadczeniu, o którym mowa </w:t>
      </w:r>
      <w:r>
        <w:rPr>
          <w:rFonts w:ascii="Arial" w:hAnsi="Arial" w:cs="Arial"/>
          <w:b/>
          <w:color w:val="000000" w:themeColor="text1"/>
          <w14:textFill>
            <w14:solidFill>
              <w14:schemeClr w14:val="tx1"/>
            </w14:solidFill>
          </w14:textFill>
        </w:rPr>
        <w:t>w art. 125 ust 5 ustawy z dnia 11 września 2019 r. Prawo zamówień publicznych (dalej jako u.p.z.p.),       w zakresie podstaw do wykluczenia z postępowania określonych w SWZ Uwzględniające przesłanki wykluczenia  z art 7 ust 1 ustawy o szczególnych rozwiązaniach w zakresie przeciwdziałania wspieraniu agresji na Ukrainę                           oraz służących  ochronie bezpieczeństwa narodoweg</w:t>
      </w:r>
      <w:r>
        <w:rPr>
          <w:rFonts w:ascii="Arial" w:hAnsi="Arial" w:cs="Arial"/>
          <w:b/>
        </w:rPr>
        <w:t>o</w:t>
      </w:r>
    </w:p>
    <w:p>
      <w:pPr>
        <w:spacing w:after="0"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color w:val="000000" w:themeColor="text1"/>
          <w14:textFill>
            <w14:solidFill>
              <w14:schemeClr w14:val="tx1"/>
            </w14:solidFill>
          </w14:textFill>
        </w:rPr>
        <w:t xml:space="preserve">Na potrzeby postępowania o udzielenie zamówienia publicznego </w:t>
      </w:r>
      <w:r>
        <w:rPr>
          <w:rFonts w:ascii="Arial" w:hAnsi="Arial" w:cs="Arial"/>
        </w:rPr>
        <w:t xml:space="preserve">pn. </w:t>
      </w:r>
      <w:bookmarkStart w:id="0" w:name="_GoBack"/>
      <w:bookmarkEnd w:id="0"/>
      <w:r>
        <w:rPr>
          <w:rFonts w:ascii="Arial" w:hAnsi="Arial" w:eastAsia="Calibri" w:cs="Arial"/>
          <w:b/>
          <w:bCs w:val="0"/>
          <w:sz w:val="22"/>
          <w:szCs w:val="22"/>
          <w:lang w:val="pl" w:eastAsia="pl" w:bidi="ar"/>
        </w:rPr>
        <w:t>,,</w:t>
      </w:r>
      <w:r>
        <w:rPr>
          <w:rFonts w:hint="default" w:ascii="Arial" w:hAnsi="Arial" w:eastAsia="Calibri" w:cs="Arial"/>
          <w:b/>
          <w:bCs/>
          <w:sz w:val="22"/>
          <w:szCs w:val="22"/>
          <w:lang w:val="pl" w:eastAsia="pl" w:bidi="ar"/>
        </w:rPr>
        <w:t>Dostawa artykułów spożywczych</w:t>
      </w:r>
      <w:r>
        <w:rPr>
          <w:rFonts w:hint="default" w:ascii="Arial" w:hAnsi="Arial" w:eastAsia="Calibri" w:cs="Arial"/>
          <w:b/>
          <w:bCs/>
          <w:sz w:val="22"/>
          <w:szCs w:val="22"/>
          <w:lang w:val="pl-PL" w:eastAsia="pl" w:bidi="ar"/>
        </w:rPr>
        <w:t>”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prowadzonego przez  Świętokrzyskie Centrum Psychiatrii w Morawicy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Cs/>
        </w:rPr>
        <w:t xml:space="preserve">znak sprawy </w:t>
      </w:r>
      <w:r>
        <w:rPr>
          <w:rFonts w:ascii="Arial" w:hAnsi="Arial" w:cs="Arial"/>
          <w:b/>
          <w:iCs/>
        </w:rPr>
        <w:t>EZP-252-</w:t>
      </w:r>
      <w:r>
        <w:rPr>
          <w:rFonts w:hint="default" w:ascii="Arial" w:hAnsi="Arial" w:cs="Arial"/>
          <w:b/>
          <w:iCs/>
          <w:lang w:val="pl-PL"/>
        </w:rPr>
        <w:t>11</w:t>
      </w:r>
      <w:r>
        <w:rPr>
          <w:rFonts w:ascii="Arial" w:hAnsi="Arial" w:cs="Arial"/>
          <w:b/>
          <w:iCs/>
        </w:rPr>
        <w:t>/2023</w:t>
      </w:r>
      <w:r>
        <w:rPr>
          <w:rFonts w:ascii="Arial" w:hAnsi="Arial" w:cs="Arial"/>
          <w:bCs/>
          <w:i/>
        </w:rPr>
        <w:t>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co następuje:</w:t>
      </w:r>
    </w:p>
    <w:p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</w:p>
    <w:p>
      <w:pPr>
        <w:pStyle w:val="15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informacje zawarte w oświadczeniu, o którym mowa w art.</w:t>
      </w:r>
      <w:r>
        <w:rPr>
          <w:rFonts w:ascii="Arial" w:hAnsi="Arial" w:cs="Arial"/>
          <w:color w:val="000000" w:themeColor="text1"/>
          <w14:textFill>
            <w14:solidFill>
              <w14:schemeClr w14:val="tx1"/>
            </w14:solidFill>
          </w14:textFill>
        </w:rPr>
        <w:t xml:space="preserve"> 125 ust.5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u.p.z.p. są aktualne  w zakresie podstaw wykluczenia z postępowania określonych                w SWZ o których mowa:</w:t>
      </w:r>
    </w:p>
    <w:p>
      <w:pPr>
        <w:pStyle w:val="15"/>
        <w:numPr>
          <w:ilvl w:val="0"/>
          <w:numId w:val="2"/>
        </w:numPr>
        <w:tabs>
          <w:tab w:val="left" w:pos="420"/>
          <w:tab w:val="clear" w:pos="1260"/>
        </w:tabs>
        <w:spacing w:line="360" w:lineRule="auto"/>
        <w:ind w:left="1260" w:leftChars="0" w:hanging="420" w:firstLineChars="0"/>
        <w:jc w:val="both"/>
        <w:rPr>
          <w:rFonts w:ascii="Arial" w:hAnsi="Arial" w:cs="Arial"/>
        </w:rPr>
      </w:pPr>
      <w:r>
        <w:rPr>
          <w:rFonts w:ascii="Arial" w:hAnsi="Arial" w:cs="Arial"/>
        </w:rPr>
        <w:t>w art. 108 ust 1   u.p.z.p.,</w:t>
      </w:r>
    </w:p>
    <w:p>
      <w:pPr>
        <w:pStyle w:val="15"/>
        <w:numPr>
          <w:ilvl w:val="0"/>
          <w:numId w:val="2"/>
        </w:numPr>
        <w:tabs>
          <w:tab w:val="left" w:pos="420"/>
          <w:tab w:val="clear" w:pos="1260"/>
        </w:tabs>
        <w:spacing w:line="360" w:lineRule="auto"/>
        <w:ind w:left="1260" w:leftChars="0" w:hanging="420" w:firstLineChars="0"/>
        <w:jc w:val="both"/>
        <w:rPr>
          <w:rFonts w:ascii="Arial" w:hAnsi="Arial" w:cs="Arial"/>
        </w:rPr>
      </w:pPr>
      <w:r>
        <w:rPr>
          <w:rFonts w:ascii="Arial" w:hAnsi="Arial" w:cs="Arial"/>
        </w:rPr>
        <w:t>w art. 7 ust. 1 ustawy z dnia 13 kwietnia 2022 r. o szczególnych rozwiązaniach  w zakresie przeciwdziałania wspieraniu agresji na Ukrainę oraz służących ochronie bezpieczeństwa narodowego</w:t>
      </w:r>
    </w:p>
    <w:p>
      <w:pPr>
        <w:pStyle w:val="15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 , że wszystkie informacje podane w powyższym oświadczeniu                     są aktualne i są zgodne  z prawdą oraz  zostały przedstawione z pełną świadomością konsekwencji wprowadzenia zamawiającego w błąd przy przedstawianiu tych informacji.</w:t>
      </w:r>
    </w:p>
    <w:p>
      <w:pPr>
        <w:pStyle w:val="15"/>
        <w:spacing w:line="360" w:lineRule="auto"/>
        <w:ind w:left="0"/>
        <w:rPr>
          <w:rFonts w:ascii="Arial" w:hAnsi="Arial" w:cs="Arial"/>
          <w:i/>
        </w:rPr>
      </w:pPr>
    </w:p>
    <w:sectPr>
      <w:footerReference r:id="rId5" w:type="default"/>
      <w:endnotePr>
        <w:numFmt w:val="decimal"/>
      </w:endnotePr>
      <w:pgSz w:w="11906" w:h="16838"/>
      <w:pgMar w:top="993" w:right="1417" w:bottom="993" w:left="1417" w:header="283" w:footer="283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rPr>
        <w:rFonts w:ascii="Arial" w:hAnsi="Arial" w:cs="Arial"/>
        <w:sz w:val="18"/>
        <w:szCs w:val="18"/>
      </w:rPr>
    </w:pPr>
  </w:p>
  <w:p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EEC179"/>
    <w:multiLevelType w:val="singleLevel"/>
    <w:tmpl w:val="F7EEC179"/>
    <w:lvl w:ilvl="0" w:tentative="0">
      <w:start w:val="1"/>
      <w:numFmt w:val="bullet"/>
      <w:lvlText w:val=""/>
      <w:lvlJc w:val="left"/>
      <w:pPr>
        <w:tabs>
          <w:tab w:val="left" w:pos="1260"/>
        </w:tabs>
        <w:ind w:left="1260" w:leftChars="0" w:hanging="420" w:firstLineChars="0"/>
      </w:pPr>
      <w:rPr>
        <w:rFonts w:hint="default" w:ascii="Wingdings" w:hAnsi="Wingdings"/>
        <w:sz w:val="13"/>
        <w:szCs w:val="13"/>
      </w:rPr>
    </w:lvl>
  </w:abstractNum>
  <w:abstractNum w:abstractNumId="1">
    <w:nsid w:val="143F63D1"/>
    <w:multiLevelType w:val="multilevel"/>
    <w:tmpl w:val="143F63D1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doNotExpandShiftReturn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13E36"/>
    <w:rsid w:val="0014328C"/>
    <w:rsid w:val="001448FB"/>
    <w:rsid w:val="00151048"/>
    <w:rsid w:val="001670F2"/>
    <w:rsid w:val="001807BF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F4C82"/>
    <w:rsid w:val="002034FD"/>
    <w:rsid w:val="002167D3"/>
    <w:rsid w:val="0024732C"/>
    <w:rsid w:val="0025263C"/>
    <w:rsid w:val="0025358A"/>
    <w:rsid w:val="00253727"/>
    <w:rsid w:val="00255142"/>
    <w:rsid w:val="00267089"/>
    <w:rsid w:val="0027560C"/>
    <w:rsid w:val="00287BCD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32093"/>
    <w:rsid w:val="003377D5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7458"/>
    <w:rsid w:val="003E1710"/>
    <w:rsid w:val="003F024C"/>
    <w:rsid w:val="003F10BC"/>
    <w:rsid w:val="00422ABC"/>
    <w:rsid w:val="00423869"/>
    <w:rsid w:val="00434CC2"/>
    <w:rsid w:val="00444888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F07B4"/>
    <w:rsid w:val="004F23F7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46C66"/>
    <w:rsid w:val="005567F7"/>
    <w:rsid w:val="005641F0"/>
    <w:rsid w:val="00594175"/>
    <w:rsid w:val="005A5DFE"/>
    <w:rsid w:val="005A73FB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52B6"/>
    <w:rsid w:val="006E16A6"/>
    <w:rsid w:val="006F3D32"/>
    <w:rsid w:val="007118F0"/>
    <w:rsid w:val="00713DA8"/>
    <w:rsid w:val="0071600A"/>
    <w:rsid w:val="00746532"/>
    <w:rsid w:val="007840F2"/>
    <w:rsid w:val="007936D6"/>
    <w:rsid w:val="0079713A"/>
    <w:rsid w:val="007A5CBF"/>
    <w:rsid w:val="007B1333"/>
    <w:rsid w:val="007E25BD"/>
    <w:rsid w:val="007E2F69"/>
    <w:rsid w:val="007E343F"/>
    <w:rsid w:val="007F3CBC"/>
    <w:rsid w:val="00804F07"/>
    <w:rsid w:val="00830AB1"/>
    <w:rsid w:val="00846390"/>
    <w:rsid w:val="008560CF"/>
    <w:rsid w:val="00874044"/>
    <w:rsid w:val="00875011"/>
    <w:rsid w:val="008874A4"/>
    <w:rsid w:val="00892E48"/>
    <w:rsid w:val="008A5BE7"/>
    <w:rsid w:val="008C6DF8"/>
    <w:rsid w:val="008D0487"/>
    <w:rsid w:val="008E3274"/>
    <w:rsid w:val="008F030E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35FDB"/>
    <w:rsid w:val="00B37134"/>
    <w:rsid w:val="00B37B8B"/>
    <w:rsid w:val="00B40326"/>
    <w:rsid w:val="00B40FC8"/>
    <w:rsid w:val="00B9086F"/>
    <w:rsid w:val="00BB1A34"/>
    <w:rsid w:val="00BD06C3"/>
    <w:rsid w:val="00BD4E11"/>
    <w:rsid w:val="00BF1F3F"/>
    <w:rsid w:val="00BF2A74"/>
    <w:rsid w:val="00C00C2E"/>
    <w:rsid w:val="00C15711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D34D9A"/>
    <w:rsid w:val="00D409DE"/>
    <w:rsid w:val="00D42C9B"/>
    <w:rsid w:val="00D47D38"/>
    <w:rsid w:val="00D7532C"/>
    <w:rsid w:val="00D90C18"/>
    <w:rsid w:val="00DA5773"/>
    <w:rsid w:val="00DC3F44"/>
    <w:rsid w:val="00DC5569"/>
    <w:rsid w:val="00DD146A"/>
    <w:rsid w:val="00DD174C"/>
    <w:rsid w:val="00DD3E9D"/>
    <w:rsid w:val="00DE73EE"/>
    <w:rsid w:val="00E04544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7872"/>
    <w:rsid w:val="00E86A2B"/>
    <w:rsid w:val="00EA74CD"/>
    <w:rsid w:val="00EB3286"/>
    <w:rsid w:val="00EB3B03"/>
    <w:rsid w:val="00ED32A5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7798"/>
    <w:rsid w:val="23D524F6"/>
    <w:rsid w:val="3F7A3BC8"/>
    <w:rsid w:val="511A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name="annotation reference"/>
    <w:lsdException w:uiPriority="99" w:name="line number"/>
    <w:lsdException w:uiPriority="99" w:name="page number"/>
    <w:lsdException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pPr>
      <w:keepNext w:val="0"/>
      <w:keepLines w:val="0"/>
      <w:widowControl w:val="0"/>
      <w:suppressLineNumbers w:val="0"/>
      <w:autoSpaceDE/>
      <w:autoSpaceDN w:val="0"/>
      <w:spacing w:before="0" w:beforeAutospacing="0" w:after="0" w:afterAutospacing="0"/>
      <w:ind w:left="0" w:right="0"/>
    </w:pPr>
    <w:rPr>
      <w:rFonts w:ascii="Calibri" w:hAnsi="Calibri" w:cs="Times New Roman"/>
      <w:kern w:val="2"/>
      <w:sz w:val="20"/>
      <w:szCs w:val="20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styleId="4">
    <w:name w:val="Balloon Text"/>
    <w:basedOn w:val="1"/>
    <w:link w:val="22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23"/>
    <w:semiHidden/>
    <w:unhideWhenUsed/>
    <w:qFormat/>
    <w:uiPriority w:val="99"/>
    <w:pPr>
      <w:spacing w:after="120"/>
    </w:pPr>
  </w:style>
  <w:style w:type="character" w:styleId="6">
    <w:name w:val="annotation reference"/>
    <w:basedOn w:val="2"/>
    <w:semiHidden/>
    <w:unhideWhenUsed/>
    <w:qFormat/>
    <w:uiPriority w:val="0"/>
    <w:rPr>
      <w:sz w:val="16"/>
      <w:szCs w:val="16"/>
    </w:rPr>
  </w:style>
  <w:style w:type="paragraph" w:styleId="7">
    <w:name w:val="annotation text"/>
    <w:basedOn w:val="1"/>
    <w:link w:val="20"/>
    <w:semiHidden/>
    <w:unhideWhenUsed/>
    <w:uiPriority w:val="0"/>
    <w:pPr>
      <w:spacing w:line="240" w:lineRule="auto"/>
    </w:pPr>
    <w:rPr>
      <w:sz w:val="20"/>
      <w:szCs w:val="20"/>
    </w:rPr>
  </w:style>
  <w:style w:type="paragraph" w:styleId="8">
    <w:name w:val="annotation subject"/>
    <w:basedOn w:val="7"/>
    <w:next w:val="7"/>
    <w:link w:val="21"/>
    <w:semiHidden/>
    <w:unhideWhenUsed/>
    <w:qFormat/>
    <w:uiPriority w:val="99"/>
    <w:rPr>
      <w:b/>
      <w:bCs/>
    </w:rPr>
  </w:style>
  <w:style w:type="character" w:styleId="9">
    <w:name w:val="endnote reference"/>
    <w:basedOn w:val="2"/>
    <w:semiHidden/>
    <w:unhideWhenUsed/>
    <w:uiPriority w:val="99"/>
    <w:rPr>
      <w:vertAlign w:val="superscript"/>
    </w:rPr>
  </w:style>
  <w:style w:type="paragraph" w:styleId="10">
    <w:name w:val="endnote text"/>
    <w:basedOn w:val="1"/>
    <w:link w:val="16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11">
    <w:name w:val="footer"/>
    <w:basedOn w:val="1"/>
    <w:link w:val="19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2">
    <w:name w:val="footnote reference"/>
    <w:basedOn w:val="2"/>
    <w:semiHidden/>
    <w:unhideWhenUsed/>
    <w:uiPriority w:val="99"/>
    <w:rPr>
      <w:vertAlign w:val="superscript"/>
    </w:rPr>
  </w:style>
  <w:style w:type="paragraph" w:styleId="13">
    <w:name w:val="footnote text"/>
    <w:basedOn w:val="1"/>
    <w:link w:val="17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14">
    <w:name w:val="header"/>
    <w:basedOn w:val="1"/>
    <w:link w:val="18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5">
    <w:name w:val="List Paragraph"/>
    <w:basedOn w:val="1"/>
    <w:qFormat/>
    <w:uiPriority w:val="0"/>
    <w:pPr>
      <w:ind w:left="720"/>
      <w:contextualSpacing/>
    </w:pPr>
  </w:style>
  <w:style w:type="character" w:customStyle="1" w:styleId="16">
    <w:name w:val="Tekst przypisu końcowego Znak"/>
    <w:basedOn w:val="2"/>
    <w:link w:val="10"/>
    <w:semiHidden/>
    <w:uiPriority w:val="99"/>
    <w:rPr>
      <w:sz w:val="20"/>
      <w:szCs w:val="20"/>
    </w:rPr>
  </w:style>
  <w:style w:type="character" w:customStyle="1" w:styleId="17">
    <w:name w:val="Tekst przypisu dolnego Znak"/>
    <w:basedOn w:val="2"/>
    <w:link w:val="13"/>
    <w:semiHidden/>
    <w:uiPriority w:val="99"/>
    <w:rPr>
      <w:sz w:val="20"/>
      <w:szCs w:val="20"/>
    </w:rPr>
  </w:style>
  <w:style w:type="character" w:customStyle="1" w:styleId="18">
    <w:name w:val="Nagłówek Znak"/>
    <w:basedOn w:val="2"/>
    <w:link w:val="14"/>
    <w:uiPriority w:val="99"/>
  </w:style>
  <w:style w:type="character" w:customStyle="1" w:styleId="19">
    <w:name w:val="Stopka Znak"/>
    <w:basedOn w:val="2"/>
    <w:link w:val="11"/>
    <w:qFormat/>
    <w:uiPriority w:val="99"/>
  </w:style>
  <w:style w:type="character" w:customStyle="1" w:styleId="20">
    <w:name w:val="Tekst komentarza Znak"/>
    <w:basedOn w:val="2"/>
    <w:link w:val="7"/>
    <w:semiHidden/>
    <w:uiPriority w:val="0"/>
    <w:rPr>
      <w:sz w:val="20"/>
      <w:szCs w:val="20"/>
    </w:rPr>
  </w:style>
  <w:style w:type="character" w:customStyle="1" w:styleId="21">
    <w:name w:val="Temat komentarza Znak"/>
    <w:basedOn w:val="20"/>
    <w:link w:val="8"/>
    <w:semiHidden/>
    <w:uiPriority w:val="99"/>
    <w:rPr>
      <w:b/>
      <w:bCs/>
      <w:sz w:val="20"/>
      <w:szCs w:val="20"/>
    </w:rPr>
  </w:style>
  <w:style w:type="character" w:customStyle="1" w:styleId="22">
    <w:name w:val="Tekst dymka Znak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character" w:customStyle="1" w:styleId="23">
    <w:name w:val="Tekst podstawowy Znak"/>
    <w:basedOn w:val="2"/>
    <w:link w:val="5"/>
    <w:semiHidden/>
    <w:qFormat/>
    <w:uiPriority w:val="99"/>
  </w:style>
  <w:style w:type="paragraph" w:customStyle="1" w:styleId="24">
    <w:name w:val="Standard"/>
    <w:qFormat/>
    <w:uiPriority w:val="0"/>
    <w:pPr>
      <w:suppressAutoHyphens/>
      <w:autoSpaceDN w:val="0"/>
      <w:spacing w:after="160" w:line="240" w:lineRule="auto"/>
    </w:pPr>
    <w:rPr>
      <w:rFonts w:ascii="Calibri" w:hAnsi="Calibri" w:eastAsia="SimSun" w:cs="Tahoma"/>
      <w:kern w:val="3"/>
      <w:sz w:val="22"/>
      <w:szCs w:val="22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1221</Characters>
  <Lines>10</Lines>
  <Paragraphs>2</Paragraphs>
  <TotalTime>2</TotalTime>
  <ScaleCrop>false</ScaleCrop>
  <LinksUpToDate>false</LinksUpToDate>
  <CharactersWithSpaces>1422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2022-04-08T07:22:00Z</dcterms:created>
  <dc:creator>Remigiusz Stępień</dc:creator>
  <cp:lastModifiedBy>Monika Bis</cp:lastModifiedBy>
  <cp:lastPrinted>2022-05-24T13:04:00Z</cp:lastPrinted>
  <dcterms:modified xsi:type="dcterms:W3CDTF">2023-06-06T07:58:52Z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1045-11.2.0.11537</vt:lpwstr>
  </property>
  <property fmtid="{D5CDD505-2E9C-101B-9397-08002B2CF9AE}" pid="3" name="ICV">
    <vt:lpwstr>945B12AFC0984D4A83878799658604C4</vt:lpwstr>
  </property>
</Properties>
</file>