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2969" w14:textId="77777777" w:rsidR="00717FEA" w:rsidRPr="00BE02C3" w:rsidRDefault="00717FEA" w:rsidP="00D970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FD5603C" w14:textId="77777777" w:rsidR="00717FEA" w:rsidRPr="00C261A8" w:rsidRDefault="00717FEA" w:rsidP="00D970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27D9B564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66107DC4" w14:textId="77777777" w:rsidR="00DA5335" w:rsidRDefault="00717FEA" w:rsidP="00DA533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21B5AA23" w14:textId="763BB94B" w:rsidR="00717FEA" w:rsidRPr="00B65CCB" w:rsidRDefault="00717FEA" w:rsidP="00B65CCB">
      <w:pPr>
        <w:pStyle w:val="Akapitzlist1"/>
        <w:numPr>
          <w:ilvl w:val="1"/>
          <w:numId w:val="38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 w:rsidRPr="0089779C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89779C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89779C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89779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E5088C" w:rsidRPr="00E5088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Wymianę pokrycia dachowego budynku przy ul. Sienkiewicza 4 w Lubawce</w:t>
      </w:r>
      <w:r w:rsidRPr="00B65CCB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 w:rsidRPr="00B65CCB">
        <w:rPr>
          <w:rFonts w:ascii="Cambria" w:hAnsi="Cambria" w:cs="Calibri Light"/>
          <w:i/>
          <w:color w:val="000000" w:themeColor="text1"/>
          <w:sz w:val="22"/>
          <w:szCs w:val="22"/>
        </w:rPr>
        <w:t xml:space="preserve"> 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których wartość nie przekracza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kwoty 130 000 zł 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na podstawie art.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2 ust. 1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pkt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1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ustawy z dnia 29 stycznia 2004 r. Prawo zamówień publicznych (Dz. U. z 2019 r. poz.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1919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z </w:t>
      </w:r>
      <w:proofErr w:type="spellStart"/>
      <w:r w:rsidRPr="00B65CCB">
        <w:rPr>
          <w:rFonts w:ascii="Cambria" w:hAnsi="Cambria" w:cs="Calibri Light"/>
          <w:color w:val="000000" w:themeColor="text1"/>
          <w:sz w:val="22"/>
          <w:szCs w:val="22"/>
        </w:rPr>
        <w:t>późn</w:t>
      </w:r>
      <w:proofErr w:type="spellEnd"/>
      <w:r w:rsidRPr="00B65CCB">
        <w:rPr>
          <w:rFonts w:ascii="Cambria" w:hAnsi="Cambria" w:cs="Calibri Light"/>
          <w:color w:val="000000" w:themeColor="text1"/>
          <w:sz w:val="22"/>
          <w:szCs w:val="22"/>
        </w:rPr>
        <w:t>. zm.), dalej „ustawa PZP”.</w:t>
      </w:r>
    </w:p>
    <w:p w14:paraId="514CC3B3" w14:textId="2DBBCE8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20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r. poz. 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2176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08FC92B5" w14:textId="696E8A9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, zgodnie z art. </w:t>
      </w:r>
      <w:r w:rsidR="00B55449"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78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14:paraId="5C94D3B6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48AE287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F214715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AB0DC00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1DF4D115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5405C761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CBEA94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9710F3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14:paraId="416185B9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5553F4C1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10E17532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717FEA" w:rsidRPr="00C261A8" w:rsidSect="004E532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FDE5" w14:textId="77777777" w:rsidR="00D341A7" w:rsidRDefault="00D341A7" w:rsidP="00D341A7">
      <w:r>
        <w:separator/>
      </w:r>
    </w:p>
  </w:endnote>
  <w:endnote w:type="continuationSeparator" w:id="0">
    <w:p w14:paraId="50C0E0C7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42223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65CC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65CC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2793B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8755" w14:textId="77777777" w:rsidR="00D341A7" w:rsidRDefault="00D341A7" w:rsidP="00D341A7">
      <w:r>
        <w:separator/>
      </w:r>
    </w:p>
  </w:footnote>
  <w:footnote w:type="continuationSeparator" w:id="0">
    <w:p w14:paraId="125AD0F7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3578" w14:textId="4EC44A08" w:rsidR="00C54A2E" w:rsidRPr="00C54A2E" w:rsidRDefault="00C54A2E" w:rsidP="00C54A2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 w:rsidRPr="0051787A">
      <w:rPr>
        <w:rFonts w:asciiTheme="majorHAnsi" w:hAnsiTheme="majorHAnsi"/>
        <w:b/>
        <w:color w:val="000000" w:themeColor="text1"/>
        <w:sz w:val="22"/>
        <w:szCs w:val="22"/>
      </w:rPr>
      <w:t xml:space="preserve">ZAŁĄCZNIK NR </w:t>
    </w:r>
    <w:r w:rsidR="00B56A22">
      <w:rPr>
        <w:rFonts w:asciiTheme="majorHAnsi" w:hAnsiTheme="majorHAnsi"/>
        <w:b/>
        <w:color w:val="000000" w:themeColor="text1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FBEE"/>
  <w15:docId w15:val="{5AE010BE-9BEA-413B-891C-60C471E6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11BC-0935-4D3A-B3F5-5FB143E2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3208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m</cp:lastModifiedBy>
  <cp:revision>97</cp:revision>
  <cp:lastPrinted>2019-02-14T08:39:00Z</cp:lastPrinted>
  <dcterms:created xsi:type="dcterms:W3CDTF">2019-02-11T19:01:00Z</dcterms:created>
  <dcterms:modified xsi:type="dcterms:W3CDTF">2021-06-10T10:10:00Z</dcterms:modified>
</cp:coreProperties>
</file>