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1D80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61FAA485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786672B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2A30C932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CA33E36" w14:textId="0C12C686" w:rsidR="00AB4501" w:rsidRDefault="004D15C7" w:rsidP="00156A16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0D965631" w14:textId="77777777" w:rsidR="000018D9" w:rsidRPr="006C2F9C" w:rsidRDefault="000018D9" w:rsidP="00156A16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5B754E98" w14:textId="5AC50A0A" w:rsidR="000018D9" w:rsidRPr="004D15C7" w:rsidRDefault="000018D9" w:rsidP="004D15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5C7">
        <w:rPr>
          <w:rFonts w:ascii="Arial" w:hAnsi="Arial" w:cs="Arial"/>
          <w:sz w:val="24"/>
          <w:szCs w:val="24"/>
        </w:rPr>
        <w:t>Przedmiotem zamówienia jest opracowanie dokumentacji projektowo – kosztorysow</w:t>
      </w:r>
      <w:r w:rsidR="00434281" w:rsidRPr="004D15C7">
        <w:rPr>
          <w:rFonts w:ascii="Arial" w:hAnsi="Arial" w:cs="Arial"/>
          <w:sz w:val="24"/>
          <w:szCs w:val="24"/>
        </w:rPr>
        <w:t>ej</w:t>
      </w:r>
      <w:r w:rsidRPr="004D15C7">
        <w:rPr>
          <w:rFonts w:ascii="Arial" w:hAnsi="Arial" w:cs="Arial"/>
          <w:sz w:val="24"/>
          <w:szCs w:val="24"/>
        </w:rPr>
        <w:t xml:space="preserve"> </w:t>
      </w:r>
      <w:r w:rsidR="003E66C0" w:rsidRPr="004D15C7">
        <w:rPr>
          <w:rFonts w:ascii="Arial" w:hAnsi="Arial" w:cs="Arial"/>
          <w:sz w:val="24"/>
          <w:szCs w:val="24"/>
        </w:rPr>
        <w:t xml:space="preserve">na budowę </w:t>
      </w:r>
      <w:r w:rsidR="00D74EA8" w:rsidRPr="004D15C7">
        <w:rPr>
          <w:rFonts w:ascii="Arial" w:hAnsi="Arial" w:cs="Arial"/>
          <w:sz w:val="24"/>
          <w:szCs w:val="24"/>
        </w:rPr>
        <w:t>ul. Kolejowej w Baninie wraz z przebudową  wiaduktu.</w:t>
      </w:r>
    </w:p>
    <w:p w14:paraId="262B8DDD" w14:textId="77777777" w:rsidR="00D74EA8" w:rsidRPr="00D74EA8" w:rsidRDefault="00D74EA8" w:rsidP="00D74EA8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60050EC5" w14:textId="77777777" w:rsidR="00AB4501" w:rsidRDefault="00AB4501" w:rsidP="00156A1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3D147DB9" w14:textId="77777777" w:rsidR="00327CE8" w:rsidRPr="00327CE8" w:rsidRDefault="00327CE8" w:rsidP="00156A16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7E915BE" w14:textId="77777777" w:rsidR="00614D87" w:rsidRPr="00614D87" w:rsidRDefault="00585349" w:rsidP="00614D87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617440">
        <w:rPr>
          <w:rFonts w:ascii="Arial" w:hAnsi="Arial" w:cs="Arial"/>
          <w:sz w:val="24"/>
          <w:szCs w:val="24"/>
        </w:rPr>
        <w:t xml:space="preserve">Zakres: </w:t>
      </w:r>
    </w:p>
    <w:p w14:paraId="293C3F03" w14:textId="42D808BA" w:rsidR="00585349" w:rsidRPr="00614D87" w:rsidRDefault="00585349" w:rsidP="00614D8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614D87">
        <w:rPr>
          <w:rFonts w:ascii="Arial" w:hAnsi="Arial" w:cs="Arial"/>
          <w:sz w:val="24"/>
          <w:szCs w:val="24"/>
        </w:rPr>
        <w:t>jezdn</w:t>
      </w:r>
      <w:r w:rsidR="004D15C7" w:rsidRPr="00614D87">
        <w:rPr>
          <w:rFonts w:ascii="Arial" w:hAnsi="Arial" w:cs="Arial"/>
          <w:sz w:val="24"/>
          <w:szCs w:val="24"/>
        </w:rPr>
        <w:t>ia o szerokości 6,0 m i długości około 145 m, nawierzchnia bitumiczna</w:t>
      </w:r>
      <w:r w:rsidR="00614D87">
        <w:rPr>
          <w:rFonts w:ascii="Arial" w:hAnsi="Arial" w:cs="Arial"/>
          <w:sz w:val="24"/>
          <w:szCs w:val="24"/>
        </w:rPr>
        <w:t>,</w:t>
      </w:r>
    </w:p>
    <w:p w14:paraId="7351C86E" w14:textId="2CD998B6" w:rsidR="00614D87" w:rsidRPr="00614D87" w:rsidRDefault="00614D87" w:rsidP="00614D8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droga dla rowerów </w:t>
      </w:r>
      <w:r w:rsidR="00EB448D">
        <w:rPr>
          <w:rFonts w:ascii="Arial" w:hAnsi="Arial" w:cs="Arial"/>
          <w:sz w:val="24"/>
          <w:szCs w:val="24"/>
        </w:rPr>
        <w:t xml:space="preserve">o szerokości 2,2 m i długości około 145 m, nawierzchnia bitumiczna </w:t>
      </w:r>
      <w:r>
        <w:rPr>
          <w:rFonts w:ascii="Arial" w:hAnsi="Arial" w:cs="Arial"/>
          <w:sz w:val="24"/>
          <w:szCs w:val="24"/>
        </w:rPr>
        <w:t xml:space="preserve">(połączenie istniejących dróg dla rowerów). </w:t>
      </w:r>
    </w:p>
    <w:p w14:paraId="074A1BC7" w14:textId="30FDE2F2" w:rsidR="00585349" w:rsidRPr="00EB448D" w:rsidRDefault="00585349" w:rsidP="00EB448D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614D87">
        <w:rPr>
          <w:rFonts w:ascii="Arial" w:hAnsi="Arial" w:cs="Arial"/>
          <w:sz w:val="24"/>
          <w:szCs w:val="24"/>
        </w:rPr>
        <w:t xml:space="preserve">Lokalizacja – </w:t>
      </w:r>
      <w:r w:rsidR="00EB448D" w:rsidRPr="00614D87">
        <w:rPr>
          <w:rFonts w:ascii="Arial" w:hAnsi="Arial" w:cs="Arial"/>
          <w:bCs/>
          <w:sz w:val="24"/>
          <w:szCs w:val="24"/>
        </w:rPr>
        <w:t xml:space="preserve">teren działek o nr ewid. </w:t>
      </w:r>
      <w:r w:rsidR="00EB448D">
        <w:rPr>
          <w:rFonts w:ascii="Arial" w:hAnsi="Arial" w:cs="Arial"/>
          <w:bCs/>
          <w:sz w:val="24"/>
          <w:szCs w:val="24"/>
        </w:rPr>
        <w:t xml:space="preserve">85, 89, 91, 92, 94, 95 </w:t>
      </w:r>
      <w:r w:rsidR="00EB448D" w:rsidRPr="00614D87">
        <w:rPr>
          <w:rFonts w:ascii="Arial" w:hAnsi="Arial" w:cs="Arial"/>
          <w:bCs/>
          <w:sz w:val="24"/>
          <w:szCs w:val="24"/>
        </w:rPr>
        <w:t xml:space="preserve">obręb Banino </w:t>
      </w:r>
      <w:r w:rsidR="00EB448D" w:rsidRPr="00954F6D">
        <w:rPr>
          <w:rFonts w:ascii="Arial" w:hAnsi="Arial" w:cs="Arial"/>
          <w:color w:val="000000" w:themeColor="text1"/>
          <w:sz w:val="24"/>
          <w:szCs w:val="24"/>
        </w:rPr>
        <w:t xml:space="preserve">(odcinek od 94 do 85). </w:t>
      </w:r>
      <w:r w:rsidR="00EB448D" w:rsidRPr="00954F6D">
        <w:rPr>
          <w:rFonts w:ascii="Arial" w:hAnsi="Arial" w:cs="Arial"/>
          <w:iCs/>
          <w:color w:val="000000" w:themeColor="text1"/>
          <w:sz w:val="24"/>
          <w:szCs w:val="24"/>
        </w:rPr>
        <w:t>Działki</w:t>
      </w:r>
      <w:r w:rsidR="00EB448D" w:rsidRPr="00614D87">
        <w:rPr>
          <w:rFonts w:ascii="Arial" w:hAnsi="Arial" w:cs="Arial"/>
          <w:iCs/>
          <w:sz w:val="24"/>
          <w:szCs w:val="24"/>
        </w:rPr>
        <w:t xml:space="preserve"> o nr ewid</w:t>
      </w:r>
      <w:r w:rsidR="00EB448D">
        <w:rPr>
          <w:rFonts w:ascii="Arial" w:hAnsi="Arial" w:cs="Arial"/>
          <w:iCs/>
          <w:sz w:val="24"/>
          <w:szCs w:val="24"/>
        </w:rPr>
        <w:t>. 89, 91, 92</w:t>
      </w:r>
      <w:r w:rsidR="00EB448D" w:rsidRPr="00614D87">
        <w:rPr>
          <w:rFonts w:ascii="Arial" w:hAnsi="Arial" w:cs="Arial"/>
          <w:iCs/>
          <w:sz w:val="24"/>
          <w:szCs w:val="24"/>
        </w:rPr>
        <w:t xml:space="preserve">  stanowią własność </w:t>
      </w:r>
      <w:r w:rsidR="00EB448D">
        <w:rPr>
          <w:rFonts w:ascii="Arial" w:hAnsi="Arial" w:cs="Arial"/>
          <w:iCs/>
          <w:sz w:val="24"/>
          <w:szCs w:val="24"/>
        </w:rPr>
        <w:t>Skarbu Państwa (użytkownik wieczysty PKP); o nr ewid. 85, 94 stanowią własność Gminy Żukowo; o nr ewid. 95 stanowi własność Skarbu Państwa.</w:t>
      </w:r>
    </w:p>
    <w:p w14:paraId="712CEDD9" w14:textId="77777777" w:rsidR="004D15C7" w:rsidRPr="004D15C7" w:rsidRDefault="004D15C7" w:rsidP="00614D8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4D15C7">
        <w:rPr>
          <w:rFonts w:ascii="Arial" w:hAnsi="Arial" w:cs="Arial"/>
          <w:sz w:val="24"/>
          <w:szCs w:val="24"/>
        </w:rPr>
        <w:t>Stan istniejący:</w:t>
      </w:r>
    </w:p>
    <w:p w14:paraId="61201371" w14:textId="18B70A35" w:rsidR="00EB448D" w:rsidRPr="00EB448D" w:rsidRDefault="00EB448D" w:rsidP="00EB448D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448D">
        <w:rPr>
          <w:rFonts w:ascii="Arial" w:eastAsia="Calibri" w:hAnsi="Arial" w:cs="Arial"/>
          <w:sz w:val="24"/>
          <w:szCs w:val="24"/>
        </w:rPr>
        <w:t>jezdnia o nawierzchni z płyt JOMB (stan drogi został przedstawiony w Załączniku nr 1</w:t>
      </w:r>
      <w:r w:rsidR="00E30F7E">
        <w:rPr>
          <w:rFonts w:ascii="Arial" w:eastAsia="Calibri" w:hAnsi="Arial" w:cs="Arial"/>
          <w:sz w:val="24"/>
          <w:szCs w:val="24"/>
        </w:rPr>
        <w:t xml:space="preserve"> do OPZ</w:t>
      </w:r>
      <w:r w:rsidRPr="00EB448D">
        <w:rPr>
          <w:rFonts w:ascii="Arial" w:eastAsia="Calibri" w:hAnsi="Arial" w:cs="Arial"/>
          <w:sz w:val="24"/>
          <w:szCs w:val="24"/>
        </w:rPr>
        <w:t>),</w:t>
      </w:r>
    </w:p>
    <w:p w14:paraId="2696D01C" w14:textId="5E8BAE44" w:rsidR="00EB448D" w:rsidRPr="00EB448D" w:rsidRDefault="00EB448D" w:rsidP="00EB448D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448D">
        <w:rPr>
          <w:rFonts w:ascii="Arial" w:eastAsia="Calibri" w:hAnsi="Arial" w:cs="Arial"/>
          <w:sz w:val="24"/>
          <w:szCs w:val="24"/>
        </w:rPr>
        <w:t>droga dla rowerów o nawierzchni z masy bitumicznej (stan drogi został przedstawiony w Załączniku nr 2</w:t>
      </w:r>
      <w:r w:rsidR="00E30F7E">
        <w:rPr>
          <w:rFonts w:ascii="Arial" w:eastAsia="Calibri" w:hAnsi="Arial" w:cs="Arial"/>
          <w:sz w:val="24"/>
          <w:szCs w:val="24"/>
        </w:rPr>
        <w:t xml:space="preserve"> do OPZ</w:t>
      </w:r>
      <w:r w:rsidRPr="00EB448D">
        <w:rPr>
          <w:rFonts w:ascii="Arial" w:eastAsia="Calibri" w:hAnsi="Arial" w:cs="Arial"/>
          <w:sz w:val="24"/>
          <w:szCs w:val="24"/>
        </w:rPr>
        <w:t>).</w:t>
      </w:r>
    </w:p>
    <w:p w14:paraId="16E7ED32" w14:textId="472E27AF" w:rsidR="004D15C7" w:rsidRPr="00E37BFE" w:rsidRDefault="004D15C7" w:rsidP="00614D87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37BFE">
        <w:rPr>
          <w:rFonts w:ascii="Arial" w:eastAsia="Calibri" w:hAnsi="Arial" w:cs="Arial"/>
          <w:sz w:val="24"/>
          <w:szCs w:val="24"/>
        </w:rPr>
        <w:t xml:space="preserve">Uzbrojenie: sieć gazowa, sieć wodociągowa, sieć telekomunikacyjna.  </w:t>
      </w:r>
      <w:r w:rsidR="00E37BFE" w:rsidRPr="00E37BFE">
        <w:rPr>
          <w:rFonts w:ascii="Arial" w:eastAsia="Calibri" w:hAnsi="Arial" w:cs="Arial"/>
          <w:sz w:val="24"/>
          <w:szCs w:val="24"/>
        </w:rPr>
        <w:t xml:space="preserve">Przebieg aktualnego uzbrojenia jest dostępny na stronie </w:t>
      </w:r>
      <w:hyperlink r:id="rId7" w:history="1">
        <w:r w:rsidR="00E37BFE" w:rsidRPr="000F631E">
          <w:rPr>
            <w:rStyle w:val="Hipercze"/>
            <w:rFonts w:ascii="Arial" w:eastAsia="Calibri" w:hAnsi="Arial" w:cs="Arial"/>
            <w:sz w:val="24"/>
            <w:szCs w:val="24"/>
          </w:rPr>
          <w:t>https://zukowo.e-mapa.net/</w:t>
        </w:r>
      </w:hyperlink>
      <w:r w:rsidR="00E37BFE">
        <w:rPr>
          <w:rFonts w:ascii="Arial" w:eastAsia="Calibri" w:hAnsi="Arial" w:cs="Arial"/>
          <w:sz w:val="24"/>
          <w:szCs w:val="24"/>
        </w:rPr>
        <w:t xml:space="preserve"> </w:t>
      </w:r>
      <w:r w:rsidR="00E37BFE" w:rsidRPr="00E37BFE">
        <w:rPr>
          <w:rFonts w:ascii="Arial" w:eastAsia="Calibri" w:hAnsi="Arial" w:cs="Arial"/>
          <w:sz w:val="24"/>
          <w:szCs w:val="24"/>
        </w:rPr>
        <w:t>w drzewie warstw należy zaznaczyć pole „Powiat kartuski” a następnie „uzbrojenie terenu”.</w:t>
      </w:r>
    </w:p>
    <w:p w14:paraId="173ADD40" w14:textId="5D978F66" w:rsidR="00614D87" w:rsidRPr="00984E6A" w:rsidRDefault="004D15C7" w:rsidP="00614D87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84E6A">
        <w:rPr>
          <w:rFonts w:ascii="Arial" w:hAnsi="Arial" w:cs="Arial"/>
          <w:bCs/>
          <w:iCs/>
          <w:sz w:val="24"/>
          <w:szCs w:val="24"/>
        </w:rPr>
        <w:t xml:space="preserve">Teren projektowanej inwestycji </w:t>
      </w:r>
      <w:r w:rsidR="00FB7613" w:rsidRPr="00984E6A">
        <w:rPr>
          <w:rFonts w:ascii="Arial" w:hAnsi="Arial" w:cs="Arial"/>
          <w:bCs/>
          <w:iCs/>
          <w:sz w:val="24"/>
          <w:szCs w:val="24"/>
        </w:rPr>
        <w:t xml:space="preserve">nie jest objęty miejscowym planem zagospodarowania przestrzennego. </w:t>
      </w:r>
    </w:p>
    <w:p w14:paraId="3AEBE3BE" w14:textId="77777777" w:rsidR="00585349" w:rsidRPr="0091045B" w:rsidRDefault="00585349" w:rsidP="00614D8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045B">
        <w:rPr>
          <w:rFonts w:ascii="Arial" w:hAnsi="Arial" w:cs="Arial"/>
          <w:sz w:val="24"/>
          <w:szCs w:val="24"/>
        </w:rPr>
        <w:t>W ramach zamówienia należy:</w:t>
      </w:r>
    </w:p>
    <w:p w14:paraId="068CCE83" w14:textId="2D6A6203" w:rsidR="00585349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045B">
        <w:rPr>
          <w:rFonts w:ascii="Arial" w:hAnsi="Arial" w:cs="Arial"/>
          <w:iCs/>
          <w:sz w:val="24"/>
          <w:szCs w:val="24"/>
        </w:rPr>
        <w:t xml:space="preserve">Uzyskać </w:t>
      </w:r>
      <w:r>
        <w:rPr>
          <w:rFonts w:ascii="Arial" w:hAnsi="Arial" w:cs="Arial"/>
          <w:iCs/>
          <w:sz w:val="24"/>
          <w:szCs w:val="24"/>
        </w:rPr>
        <w:t>wymagane prawem uzgodnienia i opinie od gestorów sieci i urządzeń</w:t>
      </w:r>
      <w:r w:rsidR="00A90A9F">
        <w:rPr>
          <w:rFonts w:ascii="Arial" w:hAnsi="Arial" w:cs="Arial"/>
          <w:iCs/>
          <w:sz w:val="24"/>
          <w:szCs w:val="24"/>
        </w:rPr>
        <w:t>, w tym od Polskich Linii Kolejowych.</w:t>
      </w:r>
    </w:p>
    <w:p w14:paraId="0D57D99E" w14:textId="77777777" w:rsidR="00585349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7E44417C" w14:textId="77777777" w:rsidR="00585349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1B913001" w14:textId="30FC6734" w:rsidR="00585349" w:rsidRPr="00614D87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FF2956">
        <w:rPr>
          <w:rFonts w:ascii="Arial" w:hAnsi="Arial" w:cs="Arial"/>
          <w:bCs/>
          <w:iCs/>
          <w:sz w:val="24"/>
          <w:szCs w:val="24"/>
        </w:rPr>
        <w:t xml:space="preserve">Zaprojektować </w:t>
      </w:r>
      <w:r w:rsidR="00614D87">
        <w:rPr>
          <w:rFonts w:ascii="Arial" w:hAnsi="Arial" w:cs="Arial"/>
          <w:bCs/>
          <w:iCs/>
          <w:sz w:val="24"/>
          <w:szCs w:val="24"/>
        </w:rPr>
        <w:t>jezdnię i brakujący odcinek drogi dla rowerów.</w:t>
      </w:r>
    </w:p>
    <w:p w14:paraId="12E74E94" w14:textId="78660A64" w:rsidR="00614D87" w:rsidRPr="00A90A9F" w:rsidRDefault="00614D87" w:rsidP="00614D87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A90A9F">
        <w:rPr>
          <w:rFonts w:ascii="Arial" w:hAnsi="Arial" w:cs="Arial"/>
          <w:bCs/>
          <w:iCs/>
          <w:sz w:val="24"/>
          <w:szCs w:val="24"/>
        </w:rPr>
        <w:t xml:space="preserve">Zaprojektować przebudowę </w:t>
      </w:r>
      <w:r w:rsidRPr="00A90A9F">
        <w:rPr>
          <w:rFonts w:ascii="Arial" w:hAnsi="Arial" w:cs="Arial"/>
          <w:sz w:val="24"/>
          <w:szCs w:val="24"/>
        </w:rPr>
        <w:t>istniejącego wiaduktu.</w:t>
      </w:r>
    </w:p>
    <w:p w14:paraId="55ECB1D0" w14:textId="77777777" w:rsidR="008D6C16" w:rsidRPr="002E3A2D" w:rsidRDefault="008D6C16" w:rsidP="008D6C16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3A2D">
        <w:rPr>
          <w:rFonts w:ascii="Arial" w:hAnsi="Arial" w:cs="Arial"/>
          <w:color w:val="000000" w:themeColor="text1"/>
          <w:sz w:val="24"/>
          <w:szCs w:val="24"/>
        </w:rPr>
        <w:t>Zaprojektować uniesione przejście dla pieszych wraz z doświetleniem – w kierunku Rębiechowa jak najbliżej wiaduktu z zachowaniem bezpieczeństwa dla pieszych i kierowców.</w:t>
      </w:r>
    </w:p>
    <w:p w14:paraId="585970BA" w14:textId="565F4F03" w:rsidR="00614D87" w:rsidRPr="00A90A9F" w:rsidRDefault="00614D87" w:rsidP="00A90A9F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A90A9F">
        <w:rPr>
          <w:rFonts w:ascii="Arial" w:hAnsi="Arial" w:cs="Arial"/>
          <w:sz w:val="24"/>
          <w:szCs w:val="24"/>
        </w:rPr>
        <w:t>Zaprojektowa</w:t>
      </w:r>
      <w:r w:rsidR="00A90A9F">
        <w:rPr>
          <w:rFonts w:ascii="Arial" w:hAnsi="Arial" w:cs="Arial"/>
          <w:sz w:val="24"/>
          <w:szCs w:val="24"/>
        </w:rPr>
        <w:t>ć</w:t>
      </w:r>
      <w:r w:rsidRPr="00A90A9F">
        <w:rPr>
          <w:rFonts w:ascii="Arial" w:hAnsi="Arial" w:cs="Arial"/>
          <w:sz w:val="24"/>
          <w:szCs w:val="24"/>
        </w:rPr>
        <w:t xml:space="preserve"> oświetleni</w:t>
      </w:r>
      <w:r w:rsidR="00A90A9F">
        <w:rPr>
          <w:rFonts w:ascii="Arial" w:hAnsi="Arial" w:cs="Arial"/>
          <w:sz w:val="24"/>
          <w:szCs w:val="24"/>
        </w:rPr>
        <w:t>e</w:t>
      </w:r>
      <w:r w:rsidRPr="00A90A9F">
        <w:rPr>
          <w:rFonts w:ascii="Arial" w:hAnsi="Arial" w:cs="Arial"/>
          <w:sz w:val="24"/>
          <w:szCs w:val="24"/>
        </w:rPr>
        <w:t xml:space="preserve"> na całym odcinku</w:t>
      </w:r>
      <w:r w:rsidR="00A90A9F">
        <w:rPr>
          <w:rFonts w:ascii="Arial" w:hAnsi="Arial" w:cs="Arial"/>
          <w:sz w:val="24"/>
          <w:szCs w:val="24"/>
        </w:rPr>
        <w:t xml:space="preserve"> projektowanej drogi.</w:t>
      </w:r>
    </w:p>
    <w:p w14:paraId="7A466E5A" w14:textId="6B5E6C1F" w:rsidR="00614D87" w:rsidRPr="00A90A9F" w:rsidRDefault="00614D87" w:rsidP="00A90A9F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A90A9F">
        <w:rPr>
          <w:rFonts w:ascii="Arial" w:hAnsi="Arial" w:cs="Arial"/>
          <w:sz w:val="24"/>
          <w:szCs w:val="24"/>
        </w:rPr>
        <w:t>Zaprojektowa</w:t>
      </w:r>
      <w:r w:rsidR="00A90A9F">
        <w:rPr>
          <w:rFonts w:ascii="Arial" w:hAnsi="Arial" w:cs="Arial"/>
          <w:sz w:val="24"/>
          <w:szCs w:val="24"/>
        </w:rPr>
        <w:t xml:space="preserve">ć </w:t>
      </w:r>
      <w:r w:rsidRPr="00A90A9F">
        <w:rPr>
          <w:rFonts w:ascii="Arial" w:hAnsi="Arial" w:cs="Arial"/>
          <w:sz w:val="24"/>
          <w:szCs w:val="24"/>
        </w:rPr>
        <w:t>odprowadzeni</w:t>
      </w:r>
      <w:r w:rsidR="00A90A9F">
        <w:rPr>
          <w:rFonts w:ascii="Arial" w:hAnsi="Arial" w:cs="Arial"/>
          <w:sz w:val="24"/>
          <w:szCs w:val="24"/>
        </w:rPr>
        <w:t>e</w:t>
      </w:r>
      <w:r w:rsidRPr="00A90A9F">
        <w:rPr>
          <w:rFonts w:ascii="Arial" w:hAnsi="Arial" w:cs="Arial"/>
          <w:sz w:val="24"/>
          <w:szCs w:val="24"/>
        </w:rPr>
        <w:t xml:space="preserve"> wód opadowych</w:t>
      </w:r>
      <w:r w:rsidR="00A90A9F">
        <w:rPr>
          <w:rFonts w:ascii="Arial" w:hAnsi="Arial" w:cs="Arial"/>
          <w:sz w:val="24"/>
          <w:szCs w:val="24"/>
        </w:rPr>
        <w:t>.</w:t>
      </w:r>
    </w:p>
    <w:p w14:paraId="7B046A47" w14:textId="12B8F24C" w:rsidR="00614D87" w:rsidRDefault="00614D87" w:rsidP="00A90A9F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bookmarkStart w:id="0" w:name="_Hlk137726478"/>
      <w:r w:rsidRPr="00A90A9F">
        <w:rPr>
          <w:rFonts w:ascii="Arial" w:hAnsi="Arial" w:cs="Arial"/>
          <w:sz w:val="24"/>
          <w:szCs w:val="24"/>
        </w:rPr>
        <w:t>Zaprojektowa</w:t>
      </w:r>
      <w:r w:rsidR="00A90A9F">
        <w:rPr>
          <w:rFonts w:ascii="Arial" w:hAnsi="Arial" w:cs="Arial"/>
          <w:sz w:val="24"/>
          <w:szCs w:val="24"/>
        </w:rPr>
        <w:t>ć</w:t>
      </w:r>
      <w:r w:rsidRPr="00A90A9F">
        <w:rPr>
          <w:rFonts w:ascii="Arial" w:hAnsi="Arial" w:cs="Arial"/>
          <w:sz w:val="24"/>
          <w:szCs w:val="24"/>
        </w:rPr>
        <w:t xml:space="preserve"> </w:t>
      </w:r>
      <w:r w:rsidR="002C7E12">
        <w:rPr>
          <w:rFonts w:ascii="Arial" w:hAnsi="Arial" w:cs="Arial"/>
          <w:sz w:val="24"/>
          <w:szCs w:val="24"/>
        </w:rPr>
        <w:t xml:space="preserve">tymczasową </w:t>
      </w:r>
      <w:r w:rsidRPr="00A90A9F">
        <w:rPr>
          <w:rFonts w:ascii="Arial" w:hAnsi="Arial" w:cs="Arial"/>
          <w:sz w:val="24"/>
          <w:szCs w:val="24"/>
        </w:rPr>
        <w:t>organizac</w:t>
      </w:r>
      <w:r w:rsidR="00A90A9F">
        <w:rPr>
          <w:rFonts w:ascii="Arial" w:hAnsi="Arial" w:cs="Arial"/>
          <w:sz w:val="24"/>
          <w:szCs w:val="24"/>
        </w:rPr>
        <w:t>ję</w:t>
      </w:r>
      <w:r w:rsidRPr="00A90A9F">
        <w:rPr>
          <w:rFonts w:ascii="Arial" w:hAnsi="Arial" w:cs="Arial"/>
          <w:sz w:val="24"/>
          <w:szCs w:val="24"/>
        </w:rPr>
        <w:t xml:space="preserve"> ruchu</w:t>
      </w:r>
      <w:r w:rsidR="00A90A9F">
        <w:rPr>
          <w:rFonts w:ascii="Arial" w:hAnsi="Arial" w:cs="Arial"/>
          <w:sz w:val="24"/>
          <w:szCs w:val="24"/>
        </w:rPr>
        <w:t>.</w:t>
      </w:r>
    </w:p>
    <w:bookmarkEnd w:id="0"/>
    <w:p w14:paraId="48A7DC9B" w14:textId="5C34019C" w:rsidR="002C7E12" w:rsidRDefault="002C7E12" w:rsidP="002C7E12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A90A9F">
        <w:rPr>
          <w:rFonts w:ascii="Arial" w:hAnsi="Arial" w:cs="Arial"/>
          <w:sz w:val="24"/>
          <w:szCs w:val="24"/>
        </w:rPr>
        <w:t>Zaprojektowa</w:t>
      </w:r>
      <w:r>
        <w:rPr>
          <w:rFonts w:ascii="Arial" w:hAnsi="Arial" w:cs="Arial"/>
          <w:sz w:val="24"/>
          <w:szCs w:val="24"/>
        </w:rPr>
        <w:t>ć</w:t>
      </w:r>
      <w:r w:rsidRPr="00A90A9F">
        <w:rPr>
          <w:rFonts w:ascii="Arial" w:hAnsi="Arial" w:cs="Arial"/>
          <w:sz w:val="24"/>
          <w:szCs w:val="24"/>
        </w:rPr>
        <w:t xml:space="preserve"> docelow</w:t>
      </w:r>
      <w:r>
        <w:rPr>
          <w:rFonts w:ascii="Arial" w:hAnsi="Arial" w:cs="Arial"/>
          <w:sz w:val="24"/>
          <w:szCs w:val="24"/>
        </w:rPr>
        <w:t>ą</w:t>
      </w:r>
      <w:r w:rsidRPr="00A90A9F">
        <w:rPr>
          <w:rFonts w:ascii="Arial" w:hAnsi="Arial" w:cs="Arial"/>
          <w:sz w:val="24"/>
          <w:szCs w:val="24"/>
        </w:rPr>
        <w:t xml:space="preserve"> organizac</w:t>
      </w:r>
      <w:r>
        <w:rPr>
          <w:rFonts w:ascii="Arial" w:hAnsi="Arial" w:cs="Arial"/>
          <w:sz w:val="24"/>
          <w:szCs w:val="24"/>
        </w:rPr>
        <w:t>ję</w:t>
      </w:r>
      <w:r w:rsidRPr="00A90A9F">
        <w:rPr>
          <w:rFonts w:ascii="Arial" w:hAnsi="Arial" w:cs="Arial"/>
          <w:sz w:val="24"/>
          <w:szCs w:val="24"/>
        </w:rPr>
        <w:t xml:space="preserve"> ruchu</w:t>
      </w:r>
      <w:r>
        <w:rPr>
          <w:rFonts w:ascii="Arial" w:hAnsi="Arial" w:cs="Arial"/>
          <w:sz w:val="24"/>
          <w:szCs w:val="24"/>
        </w:rPr>
        <w:t>.</w:t>
      </w:r>
    </w:p>
    <w:p w14:paraId="45CA8D91" w14:textId="3F5EEF3E" w:rsidR="008D6C16" w:rsidRPr="002C7E12" w:rsidRDefault="00585349" w:rsidP="008D6C16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2C7E12">
        <w:rPr>
          <w:rFonts w:ascii="Arial" w:hAnsi="Arial" w:cs="Arial"/>
          <w:sz w:val="24"/>
          <w:szCs w:val="24"/>
        </w:rPr>
        <w:t xml:space="preserve">Zaprojektować udogodnienia dla osób niepełnosprawnych: </w:t>
      </w:r>
    </w:p>
    <w:p w14:paraId="77C1F4AC" w14:textId="2346DD5E" w:rsidR="008D6C16" w:rsidRPr="008D6C16" w:rsidRDefault="0098225C" w:rsidP="008D6C16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8D6C16" w:rsidRPr="008D6C16">
        <w:rPr>
          <w:rFonts w:ascii="Arial" w:hAnsi="Arial" w:cs="Arial"/>
          <w:sz w:val="24"/>
          <w:szCs w:val="24"/>
        </w:rPr>
        <w:t xml:space="preserve">) </w:t>
      </w:r>
      <w:r w:rsidR="008D6C16" w:rsidRPr="008D6C16">
        <w:rPr>
          <w:rFonts w:ascii="Arial" w:hAnsi="Arial" w:cs="Arial"/>
          <w:sz w:val="24"/>
          <w:szCs w:val="24"/>
        </w:rPr>
        <w:tab/>
        <w:t>pasy ostrzegawcze przed przejściem dla pieszych,</w:t>
      </w:r>
    </w:p>
    <w:p w14:paraId="76461575" w14:textId="5722F789" w:rsidR="008D6C16" w:rsidRDefault="0098225C" w:rsidP="008D6C16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8D6C16" w:rsidRPr="008D6C16">
        <w:rPr>
          <w:rFonts w:ascii="Arial" w:hAnsi="Arial" w:cs="Arial"/>
          <w:sz w:val="24"/>
          <w:szCs w:val="24"/>
        </w:rPr>
        <w:t xml:space="preserve">) </w:t>
      </w:r>
      <w:r w:rsidR="008D6C16" w:rsidRPr="008D6C16">
        <w:rPr>
          <w:rFonts w:ascii="Arial" w:hAnsi="Arial" w:cs="Arial"/>
          <w:sz w:val="24"/>
          <w:szCs w:val="24"/>
        </w:rPr>
        <w:tab/>
        <w:t xml:space="preserve">obniżone krawężniki. </w:t>
      </w:r>
    </w:p>
    <w:p w14:paraId="3DC91CAC" w14:textId="00851B1A" w:rsidR="00B04A23" w:rsidRDefault="00B04A23" w:rsidP="008D6C16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C7E1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 </w:t>
      </w:r>
      <w:r w:rsidR="002C7E1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cenić stan techniczny płyt JOMB – w dokumentacji (przedmiarach, kosztorysie inwestorskim, specyfikacjach technicznych wykonania i odbioru robót) należy określić ilość płyt JOMB z rozbiórki  nadających się do ponownego wbudowania  i uwzględnić ich transport (wraz z załadunkiem i rozładunkiem) do miejsca wskazanego przez zamawiającego – odległość do 10 km od miejsca rozb</w:t>
      </w:r>
      <w:r w:rsidR="0008354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órki. </w:t>
      </w:r>
    </w:p>
    <w:p w14:paraId="5A336B37" w14:textId="537554BA" w:rsidR="009D6702" w:rsidRPr="003E071A" w:rsidRDefault="00585349" w:rsidP="003E071A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E071A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</w:t>
      </w:r>
      <w:r w:rsidR="00A90A9F" w:rsidRPr="003E071A">
        <w:rPr>
          <w:rFonts w:ascii="Arial" w:hAnsi="Arial" w:cs="Arial"/>
          <w:iCs/>
          <w:sz w:val="24"/>
          <w:szCs w:val="24"/>
        </w:rPr>
        <w:t xml:space="preserve"> </w:t>
      </w:r>
      <w:r w:rsidR="00A90A9F" w:rsidRPr="003E071A">
        <w:rPr>
          <w:rFonts w:ascii="Arial" w:eastAsia="TimesNewRoman" w:hAnsi="Arial" w:cs="Arial"/>
          <w:sz w:val="24"/>
          <w:szCs w:val="24"/>
        </w:rPr>
        <w:t>zezwolenie na realizację inwestycji drogowej (ZRID).</w:t>
      </w:r>
    </w:p>
    <w:p w14:paraId="112B2190" w14:textId="77777777" w:rsidR="00DB7A76" w:rsidRPr="003B576E" w:rsidRDefault="00DB7A76" w:rsidP="003B576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01A4FDCB" w14:textId="77777777" w:rsidR="00C63674" w:rsidRPr="006C2F9C" w:rsidRDefault="00AB4501" w:rsidP="00AB4501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31A8FBEF" w14:textId="77777777" w:rsidR="009D2C4E" w:rsidRPr="006C2F9C" w:rsidRDefault="009D2C4E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3AD5D997" w14:textId="77777777" w:rsidR="00AB4501" w:rsidRPr="00845E96" w:rsidRDefault="00AB4501" w:rsidP="006E088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845E96">
        <w:rPr>
          <w:rFonts w:ascii="Arial" w:eastAsia="Calibri" w:hAnsi="Arial" w:cs="Arial"/>
          <w:b/>
          <w:bCs/>
          <w:sz w:val="24"/>
          <w:szCs w:val="24"/>
        </w:rPr>
        <w:t>Projekt koncepcyjny</w:t>
      </w:r>
      <w:r w:rsidR="009162F0" w:rsidRPr="00845E96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9094C10" w14:textId="0B84F124" w:rsidR="0018685A" w:rsidRPr="00845E96" w:rsidRDefault="00AB4501" w:rsidP="00845E96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45E96">
        <w:rPr>
          <w:rFonts w:ascii="Arial" w:eastAsia="Calibri" w:hAnsi="Arial" w:cs="Arial"/>
          <w:sz w:val="24"/>
          <w:szCs w:val="24"/>
        </w:rPr>
        <w:t xml:space="preserve">Projekt koncepcyjny powinien zawierać co najmniej: </w:t>
      </w:r>
      <w:bookmarkStart w:id="1" w:name="_Hlk117585275"/>
      <w:r w:rsidRPr="00845E96">
        <w:rPr>
          <w:rFonts w:ascii="Arial" w:eastAsia="Calibri" w:hAnsi="Arial" w:cs="Arial"/>
          <w:sz w:val="24"/>
          <w:szCs w:val="24"/>
        </w:rPr>
        <w:t xml:space="preserve">proponowany rodzaj oraz grubość warstw nawierzchni i podbudowy, </w:t>
      </w:r>
      <w:r w:rsidR="00043C2C" w:rsidRPr="00845E96">
        <w:rPr>
          <w:rFonts w:ascii="Arial" w:eastAsia="Calibri" w:hAnsi="Arial" w:cs="Arial"/>
          <w:sz w:val="24"/>
          <w:szCs w:val="24"/>
        </w:rPr>
        <w:t>zagospodarowanie terenu, wstępny wykaz nieruchomości planowanych do przejęcia przez zamawiającego</w:t>
      </w:r>
      <w:r w:rsidR="001712E6" w:rsidRPr="00845E96">
        <w:rPr>
          <w:rFonts w:ascii="Arial" w:eastAsia="Calibri" w:hAnsi="Arial" w:cs="Arial"/>
          <w:sz w:val="24"/>
          <w:szCs w:val="24"/>
        </w:rPr>
        <w:t>,</w:t>
      </w:r>
      <w:r w:rsidR="00567CA1" w:rsidRPr="00845E96">
        <w:rPr>
          <w:rFonts w:ascii="Arial" w:eastAsia="Calibri" w:hAnsi="Arial" w:cs="Arial"/>
          <w:sz w:val="24"/>
          <w:szCs w:val="24"/>
        </w:rPr>
        <w:t xml:space="preserve"> </w:t>
      </w:r>
      <w:r w:rsidR="00845E96" w:rsidRPr="00845E96">
        <w:rPr>
          <w:rFonts w:ascii="Arial" w:eastAsia="Calibri" w:hAnsi="Arial" w:cs="Arial"/>
          <w:sz w:val="24"/>
          <w:szCs w:val="24"/>
        </w:rPr>
        <w:t>ewentualne wskazanie drzew zakwalifikowanych do wycinki, sposób odwodnienia, rozwiązania dotyczące przebudowy ewentualnych kolizji z istniejącym uzbrojeniem</w:t>
      </w:r>
      <w:r w:rsidR="009129A6">
        <w:rPr>
          <w:rFonts w:ascii="Arial" w:eastAsia="Calibri" w:hAnsi="Arial" w:cs="Arial"/>
          <w:sz w:val="24"/>
          <w:szCs w:val="24"/>
        </w:rPr>
        <w:t>.</w:t>
      </w:r>
    </w:p>
    <w:bookmarkEnd w:id="1"/>
    <w:p w14:paraId="34B7C7A6" w14:textId="77777777" w:rsidR="00567CA1" w:rsidRPr="00845E96" w:rsidRDefault="00567CA1" w:rsidP="00845E96">
      <w:pPr>
        <w:pStyle w:val="Akapitzlist"/>
        <w:numPr>
          <w:ilvl w:val="0"/>
          <w:numId w:val="3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  <w:iCs/>
          <w:sz w:val="24"/>
          <w:szCs w:val="24"/>
        </w:rPr>
      </w:pPr>
      <w:r w:rsidRPr="00845E96">
        <w:rPr>
          <w:rFonts w:ascii="Arial" w:hAnsi="Arial" w:cs="Arial"/>
          <w:sz w:val="24"/>
          <w:szCs w:val="24"/>
        </w:rPr>
        <w:t>Projekt koncepcyjny należy wykonać co najmniej na mapach zasadniczych</w:t>
      </w:r>
      <w:r w:rsidR="00A03E82" w:rsidRPr="00845E96">
        <w:rPr>
          <w:rFonts w:ascii="Arial" w:hAnsi="Arial" w:cs="Arial"/>
          <w:sz w:val="24"/>
          <w:szCs w:val="24"/>
        </w:rPr>
        <w:t>.</w:t>
      </w:r>
    </w:p>
    <w:p w14:paraId="0972E9E0" w14:textId="38903CF2" w:rsidR="00AB4501" w:rsidRPr="00B7014D" w:rsidRDefault="00AB4501" w:rsidP="00845E9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7014D">
        <w:rPr>
          <w:rFonts w:ascii="Arial" w:eastAsia="Calibri" w:hAnsi="Arial" w:cs="Arial"/>
          <w:sz w:val="24"/>
          <w:szCs w:val="24"/>
        </w:rPr>
        <w:t xml:space="preserve">Termin wykonania projektu koncepcyjnego - do </w:t>
      </w:r>
      <w:r w:rsidR="002A1E01">
        <w:rPr>
          <w:rFonts w:ascii="Arial" w:eastAsia="Calibri" w:hAnsi="Arial" w:cs="Arial"/>
          <w:b/>
          <w:bCs/>
          <w:sz w:val="24"/>
          <w:szCs w:val="24"/>
        </w:rPr>
        <w:t>60</w:t>
      </w:r>
      <w:r w:rsidR="00B7014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B7014D">
        <w:rPr>
          <w:rFonts w:ascii="Arial" w:eastAsia="Calibri" w:hAnsi="Arial" w:cs="Arial"/>
          <w:b/>
          <w:bCs/>
          <w:sz w:val="24"/>
          <w:szCs w:val="24"/>
        </w:rPr>
        <w:t xml:space="preserve">dni licząc od daty zawarcia umowy. </w:t>
      </w:r>
    </w:p>
    <w:p w14:paraId="1882DD31" w14:textId="30D5DCF1" w:rsidR="00AB4501" w:rsidRPr="00845E96" w:rsidRDefault="00AB4501" w:rsidP="006E088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45E96">
        <w:rPr>
          <w:rFonts w:ascii="Arial" w:eastAsia="Calibri" w:hAnsi="Arial" w:cs="Arial"/>
          <w:sz w:val="24"/>
          <w:szCs w:val="24"/>
        </w:rPr>
        <w:t xml:space="preserve">Zamawiający przedstawi swoje stanowisko w terminie do </w:t>
      </w:r>
      <w:r w:rsidR="006E088D" w:rsidRPr="00845E96">
        <w:rPr>
          <w:rFonts w:ascii="Arial" w:eastAsia="Calibri" w:hAnsi="Arial" w:cs="Arial"/>
          <w:b/>
          <w:bCs/>
          <w:sz w:val="24"/>
          <w:szCs w:val="24"/>
        </w:rPr>
        <w:t>1</w:t>
      </w:r>
      <w:r w:rsidR="009129A6">
        <w:rPr>
          <w:rFonts w:ascii="Arial" w:eastAsia="Calibri" w:hAnsi="Arial" w:cs="Arial"/>
          <w:b/>
          <w:bCs/>
          <w:sz w:val="24"/>
          <w:szCs w:val="24"/>
        </w:rPr>
        <w:t>0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 xml:space="preserve"> dni </w:t>
      </w:r>
      <w:r w:rsidRPr="00845E96">
        <w:rPr>
          <w:rFonts w:ascii="Arial" w:eastAsia="Calibri" w:hAnsi="Arial" w:cs="Arial"/>
          <w:sz w:val="24"/>
          <w:szCs w:val="24"/>
        </w:rPr>
        <w:t xml:space="preserve">licząc od dnia otrzymania projektu koncepcyjnego. Wykonawca będzie zobowiązany do poprawienia i/lub uzupełnienia koncepcji w terminie wyznaczonym przez zamawiającego, ale nie dłuższym niż 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>10 dni</w:t>
      </w:r>
      <w:r w:rsidRPr="00845E96">
        <w:rPr>
          <w:rFonts w:ascii="Arial" w:eastAsia="Calibri" w:hAnsi="Arial" w:cs="Arial"/>
          <w:sz w:val="24"/>
          <w:szCs w:val="24"/>
        </w:rPr>
        <w:t xml:space="preserve">. </w:t>
      </w:r>
      <w:r w:rsidR="00A56740" w:rsidRPr="00845E96">
        <w:rPr>
          <w:rFonts w:ascii="Arial" w:eastAsia="Calibri" w:hAnsi="Arial" w:cs="Arial"/>
          <w:sz w:val="24"/>
          <w:szCs w:val="24"/>
        </w:rPr>
        <w:t xml:space="preserve">Jeżeli zdaniem wykonawcy jakaś uwaga, zalecenie zamawiającego nie mogą być uwzględnione np. ze względu na niezgodność z obowiązującymi przepisami, wykonawca będzie zobowiązany do złożenia stosownego uzasadnienia  takiej sytuacji podczas przedkładania poprawionej koncepcji. </w:t>
      </w:r>
    </w:p>
    <w:p w14:paraId="6F6C57B8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A6E3384" w14:textId="0AB4A144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2.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projektowaniem. </w:t>
      </w:r>
    </w:p>
    <w:p w14:paraId="4D6690DA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2B60B13" w14:textId="77777777" w:rsidR="007819A9" w:rsidRPr="001C79E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1349DE">
        <w:rPr>
          <w:rFonts w:ascii="Arial" w:eastAsia="Calibri" w:hAnsi="Arial" w:cs="Arial"/>
          <w:b/>
          <w:sz w:val="24"/>
          <w:szCs w:val="24"/>
        </w:rPr>
        <w:t>3.</w:t>
      </w:r>
      <w:r w:rsidRPr="001C79E1">
        <w:rPr>
          <w:rFonts w:ascii="Arial" w:eastAsia="Calibri" w:hAnsi="Arial" w:cs="Arial"/>
          <w:b/>
          <w:sz w:val="24"/>
          <w:szCs w:val="24"/>
        </w:rPr>
        <w:tab/>
        <w:t>Mapa do celów projektowych.</w:t>
      </w:r>
    </w:p>
    <w:p w14:paraId="4CD3C8F8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ab/>
        <w:t xml:space="preserve">Aktualna mapa zasadnicza do celów projektowych w skali 1:500, sporządzona w wersji analogowej i numerycznej. </w:t>
      </w:r>
    </w:p>
    <w:p w14:paraId="73D1AFAD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Mapę należy wykonać w jednolitym układzie współrzędnych dla całego opracowania. </w:t>
      </w:r>
      <w:r w:rsidRPr="00FA11EC">
        <w:rPr>
          <w:rFonts w:ascii="Arial" w:eastAsia="Calibri" w:hAnsi="Arial" w:cs="Arial"/>
          <w:color w:val="auto"/>
        </w:rPr>
        <w:t>Mapa powinna zawierać wszystkie elementy zinwentaryzowane w terenie na etapie</w:t>
      </w:r>
      <w:r>
        <w:rPr>
          <w:rFonts w:ascii="Arial" w:eastAsia="Calibri" w:hAnsi="Arial" w:cs="Arial"/>
          <w:color w:val="auto"/>
        </w:rPr>
        <w:t xml:space="preserve"> </w:t>
      </w:r>
      <w:r>
        <w:rPr>
          <w:rFonts w:ascii="Arial" w:eastAsia="Calibri" w:hAnsi="Arial" w:cs="Arial"/>
        </w:rPr>
        <w:t xml:space="preserve">pomiarów (drogi, elementy odwodnienia, ogrodzenia, zabudowania, urządzenia, drzewa itp.). </w:t>
      </w:r>
      <w:r w:rsidRPr="00315451">
        <w:rPr>
          <w:rFonts w:ascii="Arial" w:eastAsia="Calibri" w:hAnsi="Arial" w:cs="Arial"/>
        </w:rPr>
        <w:t xml:space="preserve">Widoczne punkty graniczne winny być pomierzone. Na mapie muszą być widoczne granice i numery działek. Mapa do celów projektowych powinna być zgodna z obowiązującymi przepisami, do mapy należy dołączyć barwny wykaz wszystkich oznaczeń i symboli użytych na mapie. </w:t>
      </w:r>
    </w:p>
    <w:p w14:paraId="4E4D7B07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 xml:space="preserve">Wykonawca będzie zobowiązany do aktualizacji mapy do celów projektowych o ile okaże się to konieczne w trakcie realizacji prac projektowych. </w:t>
      </w:r>
    </w:p>
    <w:p w14:paraId="0D75AD10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Wykonawca sporządzi map</w:t>
      </w:r>
      <w:r>
        <w:rPr>
          <w:rFonts w:ascii="Arial" w:eastAsia="Calibri" w:hAnsi="Arial" w:cs="Arial"/>
        </w:rPr>
        <w:t>ę</w:t>
      </w:r>
      <w:r w:rsidRPr="00315451">
        <w:rPr>
          <w:rFonts w:ascii="Arial" w:eastAsia="Calibri" w:hAnsi="Arial" w:cs="Arial"/>
        </w:rPr>
        <w:t xml:space="preserve"> do celów projektowych w zakresie niezbędnym do realizacji zamówienia oraz uzgodni zgodnie z obowiązującymi przepisami. </w:t>
      </w:r>
    </w:p>
    <w:p w14:paraId="767CF967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5)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 przypadku podziałów geodezyjnych wykonawca jest zobowiązany do opracowania map z projektowanym podziałem nieruchomości zgodnie z obowiązującymi przepisami.</w:t>
      </w:r>
    </w:p>
    <w:p w14:paraId="3378E645" w14:textId="77777777" w:rsidR="007819A9" w:rsidRDefault="007819A9" w:rsidP="007819A9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6)</w:t>
      </w:r>
      <w:r>
        <w:rPr>
          <w:rFonts w:ascii="Arial" w:eastAsia="Calibri" w:hAnsi="Arial" w:cs="Arial"/>
        </w:rPr>
        <w:tab/>
      </w:r>
      <w:r w:rsidRPr="00315451">
        <w:rPr>
          <w:rFonts w:ascii="Arial" w:hAnsi="Arial" w:cs="Arial"/>
        </w:rPr>
        <w:t xml:space="preserve">Mapę należy zarejestrować w stosownym Ośrodku Dokumentacji Geodezyjno-Kartograficznej, z klauzulą „do celów projektowych”. </w:t>
      </w:r>
    </w:p>
    <w:p w14:paraId="16DFDF40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ADD3BAD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hAnsi="Arial" w:cs="Arial"/>
          <w:b/>
          <w:bCs/>
        </w:rPr>
        <w:t>4.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54472427" w14:textId="77777777" w:rsidR="007819A9" w:rsidRPr="00CB15A7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prawidłowego zaprojektowania przedmiotu zamówienia i wykonania projektu budowlanego. W wynikach badań należy określić stopień agresywności wód gruntowych w stosunku do materiałów budowlanych, które wykonawca będzie stosował w projekcie. </w:t>
      </w:r>
    </w:p>
    <w:p w14:paraId="5EB5351B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87CD084" w14:textId="77777777" w:rsidR="007819A9" w:rsidRDefault="007819A9" w:rsidP="007819A9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1349DE">
        <w:rPr>
          <w:rFonts w:ascii="Arial" w:hAnsi="Arial" w:cs="Arial"/>
          <w:b/>
          <w:bCs/>
        </w:rPr>
        <w:t>5.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Inwentaryzacja terenu dla celów projektowych</w:t>
      </w:r>
      <w:r>
        <w:rPr>
          <w:rFonts w:ascii="Arial" w:hAnsi="Arial" w:cs="Arial"/>
          <w:b/>
          <w:bCs/>
        </w:rPr>
        <w:t>.</w:t>
      </w:r>
    </w:p>
    <w:p w14:paraId="77583443" w14:textId="77777777" w:rsidR="007819A9" w:rsidRDefault="007819A9" w:rsidP="007819A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zinwentaryzować teren, zieleń (w tym drzewa, krzewy) oraz wszystkie obiekty kolidujące z projektowanym zamówieniem.</w:t>
      </w:r>
    </w:p>
    <w:p w14:paraId="0ECA8E10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249F485" w14:textId="77777777" w:rsidR="007819A9" w:rsidRPr="00315451" w:rsidRDefault="007819A9" w:rsidP="007819A9">
      <w:pPr>
        <w:pStyle w:val="Default"/>
        <w:ind w:left="426" w:hanging="426"/>
        <w:jc w:val="both"/>
        <w:rPr>
          <w:rFonts w:ascii="Arial" w:hAnsi="Arial" w:cs="Arial"/>
        </w:rPr>
      </w:pPr>
      <w:r w:rsidRPr="001349DE">
        <w:rPr>
          <w:rFonts w:ascii="Arial" w:hAnsi="Arial" w:cs="Arial"/>
          <w:b/>
          <w:bCs/>
        </w:rPr>
        <w:t>6.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Projekt budowlany (wielobranżowy).</w:t>
      </w:r>
    </w:p>
    <w:p w14:paraId="6A3655F9" w14:textId="71AB7E00" w:rsidR="007819A9" w:rsidRPr="00FF3BDA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Zakres i forma projektu budowlanego winna spełniać wymagania określone w ustawie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Rozporządzeniu Ministra Rozwoju z dnia 11 września 2020 r. 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w sprawie szczegółowego zakresu i formy projektu budowlanego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powinien być opracowany we wszystkich niezbędnych branżach i w stopniu szczegółowości umożliwiającym uzyskanie decyzji o </w:t>
      </w:r>
      <w:r w:rsidR="00E5517C">
        <w:rPr>
          <w:rFonts w:ascii="Arial" w:eastAsia="Calibri" w:hAnsi="Arial" w:cs="Arial"/>
          <w:color w:val="000000" w:themeColor="text1"/>
          <w:sz w:val="24"/>
          <w:szCs w:val="24"/>
        </w:rPr>
        <w:t>zezwoleniu na realizację inwestycji w zakresie dróg publicznych (ZRID)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m.in. niezbędne decyzje, uzgodnienia i opinie,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dotyczącą bezpieczeństwa i ochrony zdrowia oraz plan BIOZ (zgodnie z Rozporządzeniem Ministra Infrastruktury z dnia 23 czerwca 2003 r. </w:t>
      </w:r>
      <w:r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18D327C" w14:textId="77777777" w:rsidR="007819A9" w:rsidRPr="005B3412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5B341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>
        <w:rPr>
          <w:rFonts w:ascii="Arial" w:hAnsi="Arial" w:cs="Arial"/>
          <w:sz w:val="24"/>
          <w:szCs w:val="24"/>
        </w:rPr>
        <w:t xml:space="preserve">.  Planszę zbiorczą należy </w:t>
      </w:r>
      <w:r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47A2361F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EE331F4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7.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D0037C7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0C68BAD7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</w:t>
      </w:r>
      <w:r w:rsidRPr="00AB66D4">
        <w:rPr>
          <w:rFonts w:ascii="Arial" w:eastAsia="Calibri" w:hAnsi="Arial" w:cs="Arial"/>
          <w:sz w:val="24"/>
          <w:szCs w:val="24"/>
        </w:rPr>
        <w:t>wymagań konstrukcyjno</w:t>
      </w:r>
      <w:r w:rsidRPr="00AB66D4">
        <w:rPr>
          <w:rFonts w:ascii="Arial" w:hAnsi="Arial" w:cs="Arial"/>
        </w:rPr>
        <w:t>-</w:t>
      </w:r>
      <w:r w:rsidRPr="00AB66D4">
        <w:rPr>
          <w:rFonts w:ascii="Arial" w:eastAsia="Calibri" w:hAnsi="Arial" w:cs="Arial"/>
          <w:sz w:val="24"/>
          <w:szCs w:val="24"/>
        </w:rPr>
        <w:t>jakościowych. Projekt wykonawczy powinien obejmować wszelkie obliczenia od których wyników zależne są przyjęte rozwiązania projektowe, założenia obliczeniowe, wytyczne realizacji inwestycji, opisy i rysunki warsztatowe dla elementów wymagających uszczegółowienia. W projekcie wykonawczym należy zawrzeć rozwiązania dotyczące prowadzenia robót, przygotowania terenu pod budowę i zagospodarowania terenu, w tym:</w:t>
      </w:r>
    </w:p>
    <w:p w14:paraId="28D4932A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zabezpieczenia drzew na czas budowy i wycinki drzew, </w:t>
      </w:r>
    </w:p>
    <w:p w14:paraId="7E1E698D" w14:textId="77777777" w:rsidR="007819A9" w:rsidRPr="00AB66D4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6FC4485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Pr="00AB66D4">
        <w:rPr>
          <w:rFonts w:ascii="Arial" w:eastAsia="Calibri" w:hAnsi="Arial" w:cs="Arial"/>
          <w:sz w:val="24"/>
          <w:szCs w:val="24"/>
        </w:rPr>
        <w:t xml:space="preserve">) </w:t>
      </w:r>
      <w:r w:rsidRPr="00AB66D4">
        <w:rPr>
          <w:rFonts w:ascii="Arial" w:eastAsia="Calibri" w:hAnsi="Arial" w:cs="Arial"/>
          <w:sz w:val="24"/>
          <w:szCs w:val="24"/>
        </w:rPr>
        <w:tab/>
        <w:t xml:space="preserve">czasowej przebudowy istniejących obiektów, które warunkują prowadzenie robót i budowę projektowanej sieci, </w:t>
      </w:r>
    </w:p>
    <w:p w14:paraId="581951FB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organizacji ruchu i oznakowania na czas budowy. </w:t>
      </w:r>
    </w:p>
    <w:p w14:paraId="5E6AF28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  <w:t>Projekt wykonawczy należy wykonać tak, aby umożliwić prawidłową wycenę robót budowlanych i przygotowanie oferty przez przyszłych wykonawców robót budowlanych.</w:t>
      </w:r>
    </w:p>
    <w:p w14:paraId="775F6D76" w14:textId="77777777" w:rsidR="001D7D79" w:rsidRPr="00AB66D4" w:rsidRDefault="001D7D7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4D884190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8.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F481869" w14:textId="77777777" w:rsidR="001D7D79" w:rsidRPr="00B7014D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>zgodnie z Rozporządzeniem Ministra Infrastruktury z dnia 2</w:t>
      </w:r>
      <w:r>
        <w:rPr>
          <w:rFonts w:ascii="Arial" w:eastAsia="Calibri" w:hAnsi="Arial" w:cs="Arial"/>
          <w:sz w:val="24"/>
          <w:szCs w:val="24"/>
        </w:rPr>
        <w:t xml:space="preserve">0 grudnia 2021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r w:rsidRPr="00001273">
        <w:rPr>
          <w:rFonts w:ascii="Arial" w:eastAsia="Calibri" w:hAnsi="Arial" w:cs="Arial"/>
          <w:sz w:val="24"/>
          <w:szCs w:val="24"/>
        </w:rPr>
        <w:t xml:space="preserve">oraz wytycznymi i uzgodnieniami z zamawiającym. </w:t>
      </w:r>
    </w:p>
    <w:p w14:paraId="0BDD71F4" w14:textId="77777777" w:rsidR="001D7D79" w:rsidRPr="003730D7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 xml:space="preserve">Celem specyfikacji jest jednoznaczne określenie przedmiotu robót objętych dokumentacją projektową i jej konkretnymi rozwiązaniami pod kątem wymagań jakościowych i materiałowych, </w:t>
      </w:r>
      <w:r>
        <w:rPr>
          <w:rFonts w:ascii="Arial" w:hAnsi="Arial" w:cs="Arial"/>
          <w:sz w:val="24"/>
          <w:szCs w:val="24"/>
        </w:rPr>
        <w:t xml:space="preserve">sprzętu i maszyn, </w:t>
      </w:r>
      <w:r w:rsidRPr="003730D7">
        <w:rPr>
          <w:rFonts w:ascii="Arial" w:hAnsi="Arial" w:cs="Arial"/>
          <w:sz w:val="24"/>
          <w:szCs w:val="24"/>
        </w:rPr>
        <w:t>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563DA090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1343D2E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9.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C1BCAA0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eastAsia="Calibri" w:hAnsi="Arial" w:cs="Arial"/>
          <w:color w:val="auto"/>
        </w:rPr>
        <w:t xml:space="preserve">1) </w:t>
      </w:r>
      <w:r w:rsidRPr="00DC289A">
        <w:rPr>
          <w:rFonts w:ascii="Arial" w:eastAsia="Calibri" w:hAnsi="Arial" w:cs="Arial"/>
          <w:color w:val="auto"/>
        </w:rPr>
        <w:tab/>
      </w:r>
      <w:r w:rsidRPr="00DC289A">
        <w:rPr>
          <w:rFonts w:ascii="Arial" w:hAnsi="Arial" w:cs="Arial"/>
          <w:color w:val="auto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technicznych wykonania i odbioru robót budowlanych (STWiORB). </w:t>
      </w:r>
    </w:p>
    <w:p w14:paraId="01394FD2" w14:textId="74F011C8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hAnsi="Arial" w:cs="Arial"/>
          <w:color w:val="auto"/>
        </w:rPr>
        <w:t>2)</w:t>
      </w:r>
      <w:r w:rsidRPr="00DC289A">
        <w:rPr>
          <w:rFonts w:ascii="Arial" w:hAnsi="Arial" w:cs="Arial"/>
          <w:color w:val="auto"/>
        </w:rPr>
        <w:tab/>
        <w:t>Przedmiary robót należy opracować odrębnie dla poszczególnych branż i rodzajów robót (lokalizacja, zwymiarowanie) oraz jako jednolitą całość</w:t>
      </w:r>
      <w:r w:rsidR="00890C3E">
        <w:rPr>
          <w:rFonts w:ascii="Arial" w:hAnsi="Arial" w:cs="Arial"/>
          <w:color w:val="auto"/>
        </w:rPr>
        <w:t>.</w:t>
      </w:r>
    </w:p>
    <w:p w14:paraId="0EB7C9CA" w14:textId="77777777" w:rsidR="001D7D79" w:rsidRDefault="001D7D79" w:rsidP="001D7D79">
      <w:pPr>
        <w:pStyle w:val="Default"/>
        <w:ind w:left="426" w:hanging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</w:t>
      </w:r>
      <w:r>
        <w:rPr>
          <w:rFonts w:ascii="Arial" w:eastAsia="Calibri" w:hAnsi="Arial" w:cs="Arial"/>
        </w:rPr>
        <w:t>Rozwoju i Technologii</w:t>
      </w:r>
      <w:r w:rsidRPr="00AB4501">
        <w:rPr>
          <w:rFonts w:ascii="Arial" w:eastAsia="Calibri" w:hAnsi="Arial" w:cs="Arial"/>
        </w:rPr>
        <w:t xml:space="preserve"> z dnia 2</w:t>
      </w:r>
      <w:r>
        <w:rPr>
          <w:rFonts w:ascii="Arial" w:eastAsia="Calibri" w:hAnsi="Arial" w:cs="Arial"/>
        </w:rPr>
        <w:t xml:space="preserve">0 grudnia </w:t>
      </w:r>
      <w:r w:rsidRPr="00AB4501">
        <w:rPr>
          <w:rFonts w:ascii="Arial" w:eastAsia="Calibri" w:hAnsi="Arial" w:cs="Arial"/>
        </w:rPr>
        <w:t>20</w:t>
      </w:r>
      <w:r>
        <w:rPr>
          <w:rFonts w:ascii="Arial" w:eastAsia="Calibri" w:hAnsi="Arial" w:cs="Arial"/>
        </w:rPr>
        <w:t>21</w:t>
      </w:r>
      <w:r w:rsidRPr="00AB4501">
        <w:rPr>
          <w:rFonts w:ascii="Arial" w:eastAsia="Calibri" w:hAnsi="Arial" w:cs="Arial"/>
        </w:rPr>
        <w:t xml:space="preserve"> r</w:t>
      </w:r>
      <w:r>
        <w:rPr>
          <w:rFonts w:ascii="Arial" w:eastAsia="Calibri" w:hAnsi="Arial" w:cs="Arial"/>
        </w:rPr>
        <w:t xml:space="preserve">. </w:t>
      </w:r>
      <w:r w:rsidRPr="00AB4501">
        <w:rPr>
          <w:rFonts w:ascii="Arial" w:eastAsia="Calibri" w:hAnsi="Arial" w:cs="Arial"/>
          <w:i/>
          <w:iCs/>
        </w:rPr>
        <w:t xml:space="preserve">w sprawie szczegółowego zakresu i formy dokumentacji projektowej, specyfikacji technicznych wykonania i odbioru robót </w:t>
      </w:r>
      <w:r>
        <w:rPr>
          <w:rFonts w:ascii="Arial" w:eastAsia="Calibri" w:hAnsi="Arial" w:cs="Arial"/>
          <w:i/>
          <w:iCs/>
        </w:rPr>
        <w:t xml:space="preserve">budowlanych </w:t>
      </w:r>
      <w:r w:rsidRPr="00AB4501">
        <w:rPr>
          <w:rFonts w:ascii="Arial" w:eastAsia="Calibri" w:hAnsi="Arial" w:cs="Arial"/>
          <w:i/>
          <w:iCs/>
        </w:rPr>
        <w:t xml:space="preserve">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>
        <w:rPr>
          <w:rFonts w:ascii="Arial" w:eastAsia="Calibri" w:hAnsi="Arial" w:cs="Arial"/>
          <w:i/>
          <w:iCs/>
        </w:rPr>
        <w:t>.</w:t>
      </w:r>
    </w:p>
    <w:p w14:paraId="3BC4FB17" w14:textId="77777777" w:rsidR="001D7D79" w:rsidRPr="00AB2530" w:rsidRDefault="001D7D79" w:rsidP="001D7D79">
      <w:pPr>
        <w:pStyle w:val="Default"/>
        <w:ind w:left="426" w:hanging="426"/>
        <w:jc w:val="both"/>
        <w:rPr>
          <w:rFonts w:ascii="Arial" w:hAnsi="Arial" w:cs="Arial"/>
        </w:rPr>
      </w:pPr>
      <w:r w:rsidRPr="00AB2530"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  <w:t>Przedmiary powinny zawierać wyraźne odniesienia do pozycji Specyfikacji technicznych wykonania i odbioru robót budowlanych (STWiORB).</w:t>
      </w:r>
    </w:p>
    <w:p w14:paraId="0EE162E2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</w:t>
      </w:r>
      <w:r>
        <w:rPr>
          <w:rFonts w:ascii="Arial" w:eastAsia="Calibri" w:hAnsi="Arial" w:cs="Arial"/>
          <w:sz w:val="24"/>
          <w:szCs w:val="24"/>
        </w:rPr>
        <w:t>Rozwoju i Technologii</w:t>
      </w:r>
      <w:r w:rsidRPr="00AB4501">
        <w:rPr>
          <w:rFonts w:ascii="Arial" w:eastAsia="Calibri" w:hAnsi="Arial" w:cs="Arial"/>
          <w:sz w:val="24"/>
          <w:szCs w:val="24"/>
        </w:rPr>
        <w:t xml:space="preserve"> z dnia </w:t>
      </w:r>
      <w:r>
        <w:rPr>
          <w:rFonts w:ascii="Arial" w:eastAsia="Calibri" w:hAnsi="Arial" w:cs="Arial"/>
          <w:sz w:val="24"/>
          <w:szCs w:val="24"/>
        </w:rPr>
        <w:t>20 grudnia 2021</w:t>
      </w:r>
      <w:r w:rsidRPr="00AB4501">
        <w:rPr>
          <w:rFonts w:ascii="Arial" w:eastAsia="Calibri" w:hAnsi="Arial" w:cs="Arial"/>
          <w:sz w:val="24"/>
          <w:szCs w:val="24"/>
        </w:rPr>
        <w:t xml:space="preserve">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779B38D6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5)</w:t>
      </w:r>
      <w:r>
        <w:rPr>
          <w:rFonts w:ascii="Arial" w:eastAsia="Calibri" w:hAnsi="Arial" w:cs="Arial"/>
          <w:sz w:val="24"/>
          <w:szCs w:val="24"/>
        </w:rPr>
        <w:tab/>
        <w:t>Do kosztorysu należy dołączyć:</w:t>
      </w:r>
    </w:p>
    <w:p w14:paraId="18E0678D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>
        <w:rPr>
          <w:rFonts w:ascii="Arial" w:eastAsia="Calibri" w:hAnsi="Arial" w:cs="Arial"/>
          <w:sz w:val="24"/>
          <w:szCs w:val="24"/>
        </w:rPr>
        <w:tab/>
        <w:t>założenia wyjściowe do kosztorysowania (uzgodnione przed sporządzeniem kosztorysu z zamawiającym),</w:t>
      </w:r>
    </w:p>
    <w:p w14:paraId="73F13ECC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 kalkulacje szczegółowe cen jednostkowych, analizy indywidualne nakładów rzeczowych, analizy własne czynników produkcji i wskaźników narzutów kosztów pośrednich i zysku.</w:t>
      </w:r>
    </w:p>
    <w:p w14:paraId="09030941" w14:textId="77777777" w:rsidR="001D7D79" w:rsidRPr="00CB15A7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6) </w:t>
      </w:r>
      <w:r w:rsidRPr="00CB15A7">
        <w:rPr>
          <w:rFonts w:ascii="Arial" w:eastAsia="Calibri" w:hAnsi="Arial" w:cs="Arial"/>
          <w:sz w:val="24"/>
          <w:szCs w:val="24"/>
        </w:rPr>
        <w:tab/>
        <w:t xml:space="preserve">Wykonawca przed przystąpieniem do sporządzania kosztorysu inwestorskiego, przedmiaru i specyfikacji technicznych wykonania i odbioru robót budowlanych będzie zobowiązany do ustalenia z zamawiającym zasad sporządzenia ww. dokumentów, w tym sposobu opisu robót, scalania, rozliczania robót itp. </w:t>
      </w:r>
    </w:p>
    <w:p w14:paraId="5486C0E1" w14:textId="77777777" w:rsidR="001D7D79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7) W kosztorysie inwestorskim należy uwzględnić koszty związane z obsługą geodezyjną na czas budowy, koszty pomiaru powykonawczego i dokumentacji powykonawczej.</w:t>
      </w:r>
    </w:p>
    <w:p w14:paraId="5E072981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D016A0" w14:textId="5AC5C1F9" w:rsidR="00AB4501" w:rsidRPr="00AB4501" w:rsidRDefault="001D7D7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10</w:t>
      </w:r>
      <w:r w:rsidR="00AB4501" w:rsidRPr="001349DE">
        <w:rPr>
          <w:rFonts w:ascii="Arial" w:eastAsia="Calibri" w:hAnsi="Arial" w:cs="Arial"/>
          <w:b/>
          <w:bCs/>
          <w:sz w:val="24"/>
          <w:szCs w:val="24"/>
        </w:rPr>
        <w:t>.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Materiały, uzgodnienia i opinie niezbędne do wniosku o wydanie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100CD04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46C60AF0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zezwoleniu na realizację inwestycji drogowej (ZRID), w tym m.in. od: </w:t>
      </w:r>
    </w:p>
    <w:p w14:paraId="369E7606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Spółki Komunalnej Żukowo Sp. z o.o. w Żukowie, </w:t>
      </w:r>
    </w:p>
    <w:p w14:paraId="7C3EA4D6" w14:textId="0F5CC6DD" w:rsidR="001D7D79" w:rsidRPr="001D7D79" w:rsidRDefault="001D7D79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="00890C3E" w:rsidRPr="00F92649">
        <w:rPr>
          <w:rFonts w:ascii="Arial" w:eastAsia="Calibri" w:hAnsi="Arial" w:cs="Arial"/>
          <w:sz w:val="24"/>
          <w:szCs w:val="24"/>
        </w:rPr>
        <w:t>Skarbu Państwa,</w:t>
      </w:r>
    </w:p>
    <w:p w14:paraId="6B14B954" w14:textId="7B1156E2" w:rsidR="001D7D79" w:rsidRPr="00890C3E" w:rsidRDefault="001D7D79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0C3E">
        <w:rPr>
          <w:rFonts w:ascii="Arial" w:eastAsia="Calibri" w:hAnsi="Arial" w:cs="Arial"/>
          <w:sz w:val="24"/>
          <w:szCs w:val="24"/>
        </w:rPr>
        <w:t xml:space="preserve">c) </w:t>
      </w:r>
      <w:r w:rsidRPr="00890C3E">
        <w:rPr>
          <w:rFonts w:ascii="Arial" w:eastAsia="Calibri" w:hAnsi="Arial" w:cs="Arial"/>
          <w:sz w:val="24"/>
          <w:szCs w:val="24"/>
        </w:rPr>
        <w:tab/>
        <w:t>Polskich Linii Kolejowych,</w:t>
      </w:r>
    </w:p>
    <w:p w14:paraId="7822A00A" w14:textId="7F0329B6" w:rsidR="005F1F15" w:rsidRPr="00890C3E" w:rsidRDefault="001D7D79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0C3E">
        <w:rPr>
          <w:rFonts w:ascii="Arial" w:eastAsia="Calibri" w:hAnsi="Arial" w:cs="Arial"/>
          <w:sz w:val="24"/>
          <w:szCs w:val="24"/>
        </w:rPr>
        <w:t xml:space="preserve">d) </w:t>
      </w:r>
      <w:r w:rsidRPr="00890C3E">
        <w:rPr>
          <w:rFonts w:ascii="Arial" w:eastAsia="Calibri" w:hAnsi="Arial" w:cs="Arial"/>
          <w:sz w:val="24"/>
          <w:szCs w:val="24"/>
        </w:rPr>
        <w:tab/>
      </w:r>
      <w:r w:rsidR="005F1F15" w:rsidRPr="00890C3E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636293FF" w14:textId="7CCC3DA0" w:rsidR="005F1F15" w:rsidRPr="00890C3E" w:rsidRDefault="001D7D79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0C3E">
        <w:rPr>
          <w:rFonts w:ascii="Arial" w:eastAsia="Calibri" w:hAnsi="Arial" w:cs="Arial"/>
          <w:sz w:val="24"/>
          <w:szCs w:val="24"/>
        </w:rPr>
        <w:t xml:space="preserve">e) </w:t>
      </w:r>
      <w:r w:rsidRPr="00890C3E">
        <w:rPr>
          <w:rFonts w:ascii="Arial" w:eastAsia="Calibri" w:hAnsi="Arial" w:cs="Arial"/>
          <w:sz w:val="24"/>
          <w:szCs w:val="24"/>
        </w:rPr>
        <w:tab/>
      </w:r>
      <w:r w:rsidR="005F1F15" w:rsidRPr="00890C3E">
        <w:rPr>
          <w:rFonts w:ascii="Arial" w:eastAsia="Calibri" w:hAnsi="Arial" w:cs="Arial"/>
          <w:sz w:val="24"/>
          <w:szCs w:val="24"/>
        </w:rPr>
        <w:t>inwestora</w:t>
      </w:r>
      <w:r w:rsidRPr="00890C3E">
        <w:rPr>
          <w:rFonts w:ascii="Arial" w:eastAsia="Calibri" w:hAnsi="Arial" w:cs="Arial"/>
          <w:sz w:val="24"/>
          <w:szCs w:val="24"/>
        </w:rPr>
        <w:t>.</w:t>
      </w:r>
    </w:p>
    <w:p w14:paraId="57D47AEC" w14:textId="2B57726C" w:rsidR="00393396" w:rsidRPr="00890C3E" w:rsidRDefault="005F1F15" w:rsidP="00890C3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0C3E">
        <w:rPr>
          <w:rFonts w:ascii="Arial" w:eastAsia="Calibri" w:hAnsi="Arial" w:cs="Arial"/>
          <w:sz w:val="24"/>
          <w:szCs w:val="24"/>
        </w:rPr>
        <w:t xml:space="preserve">Wykonawca opracuje operat wodnoprawny, uzyska pozwolenie wodnoprawne i przekaże zamawiającemu oryginał decyzji o pozwoleniu wodnoprawnym. </w:t>
      </w:r>
    </w:p>
    <w:p w14:paraId="0D7C8F0C" w14:textId="77777777" w:rsidR="005F1F15" w:rsidRPr="00890C3E" w:rsidRDefault="005F1F15" w:rsidP="00890C3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0C3E">
        <w:rPr>
          <w:rFonts w:ascii="Arial" w:eastAsia="Calibri" w:hAnsi="Arial" w:cs="Arial"/>
          <w:sz w:val="24"/>
          <w:szCs w:val="24"/>
        </w:rPr>
        <w:t xml:space="preserve">W przypadku konieczności (wymagalności) wykonawca przygotuje wszystkie niezbędne materiały i uzyska decyzję o środowiskowych uwarunkowaniach zgody na realizację przedsięwzięcia. </w:t>
      </w:r>
    </w:p>
    <w:p w14:paraId="7E8874A1" w14:textId="77777777" w:rsidR="00393396" w:rsidRDefault="0024196F" w:rsidP="00890C3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393396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53EF4A4F" w14:textId="77777777" w:rsidR="00393396" w:rsidRDefault="0024196F" w:rsidP="00890C3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393396">
        <w:rPr>
          <w:rFonts w:ascii="Arial" w:eastAsia="Calibri" w:hAnsi="Arial" w:cs="Arial"/>
          <w:sz w:val="24"/>
          <w:szCs w:val="24"/>
        </w:rPr>
        <w:t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</w:p>
    <w:p w14:paraId="1E02A26D" w14:textId="77777777" w:rsidR="005F1F15" w:rsidRPr="00393396" w:rsidRDefault="005F1F15" w:rsidP="00890C3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393396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661DEE63" w14:textId="77777777" w:rsidR="009162F0" w:rsidRDefault="009162F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7FCD0EDD" w14:textId="346FEE1D" w:rsidR="001349DE" w:rsidRPr="00FD750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D750E">
        <w:rPr>
          <w:rFonts w:ascii="Arial" w:eastAsia="Calibri" w:hAnsi="Arial" w:cs="Arial"/>
          <w:b/>
          <w:bCs/>
          <w:sz w:val="24"/>
          <w:szCs w:val="24"/>
        </w:rPr>
        <w:t>1</w:t>
      </w:r>
      <w:r>
        <w:rPr>
          <w:rFonts w:ascii="Arial" w:eastAsia="Calibri" w:hAnsi="Arial" w:cs="Arial"/>
          <w:b/>
          <w:bCs/>
          <w:sz w:val="24"/>
          <w:szCs w:val="24"/>
        </w:rPr>
        <w:t>1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ab/>
        <w:t>Analiza skutków ekonomicznych planowanego przedsięwzięcia.</w:t>
      </w:r>
    </w:p>
    <w:p w14:paraId="78C03EF9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sporządzi wykaz nieruchomości, które w ramach realizacji zamówienia zostaną wywłaszczone na rzecz Gminy Żukowo wraz z podaniem powierzchni wywłaszczanych działek oraz opisem wszelkich nakładów na nieruchomościach podlegających wywłaszczeniu: nasadzenia, ogrodzenia, obiekty małej architektury itp. i dokumentacją fotograficzną (tylko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elektronicznej). </w:t>
      </w:r>
    </w:p>
    <w:p w14:paraId="023CDF0E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papierowej + </w:t>
      </w:r>
      <w:r>
        <w:rPr>
          <w:rFonts w:ascii="Arial" w:eastAsia="Calibri" w:hAnsi="Arial" w:cs="Arial"/>
          <w:sz w:val="24"/>
          <w:szCs w:val="24"/>
        </w:rPr>
        <w:t>1</w:t>
      </w:r>
      <w:r w:rsidRPr="00AB4501">
        <w:rPr>
          <w:rFonts w:ascii="Arial" w:eastAsia="Calibri" w:hAnsi="Arial" w:cs="Arial"/>
          <w:sz w:val="24"/>
          <w:szCs w:val="24"/>
        </w:rPr>
        <w:t xml:space="preserve"> egz. w </w:t>
      </w:r>
      <w:r>
        <w:rPr>
          <w:rFonts w:ascii="Arial" w:eastAsia="Calibri" w:hAnsi="Arial" w:cs="Arial"/>
          <w:sz w:val="24"/>
          <w:szCs w:val="24"/>
        </w:rPr>
        <w:t>postaci</w:t>
      </w:r>
      <w:r w:rsidRPr="00AB4501">
        <w:rPr>
          <w:rFonts w:ascii="Arial" w:eastAsia="Calibri" w:hAnsi="Arial" w:cs="Arial"/>
          <w:sz w:val="24"/>
          <w:szCs w:val="24"/>
        </w:rPr>
        <w:t xml:space="preserve"> elektronicznej i przekazany zamawiającemu podczas przekazania dokumentacji projektowej. </w:t>
      </w:r>
    </w:p>
    <w:p w14:paraId="6DAC2324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4F2E0C" w14:textId="5BEB98BD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lastRenderedPageBreak/>
        <w:t>1</w:t>
      </w:r>
      <w:r w:rsidR="001349DE" w:rsidRPr="001349DE">
        <w:rPr>
          <w:rFonts w:ascii="Arial" w:eastAsia="Calibri" w:hAnsi="Arial" w:cs="Arial"/>
          <w:b/>
          <w:bCs/>
          <w:sz w:val="24"/>
          <w:szCs w:val="24"/>
        </w:rPr>
        <w:t>2</w:t>
      </w:r>
      <w:r w:rsidRPr="001349D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bookmarkStart w:id="2" w:name="_Hlk117598965"/>
      <w:r w:rsidRPr="001349DE">
        <w:rPr>
          <w:rFonts w:ascii="Arial" w:eastAsia="Calibri" w:hAnsi="Arial" w:cs="Arial"/>
          <w:b/>
          <w:bCs/>
          <w:sz w:val="24"/>
          <w:szCs w:val="24"/>
        </w:rPr>
        <w:t>Złożenie</w:t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 wniosku i uzyskanie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  <w:bookmarkEnd w:id="2"/>
    </w:p>
    <w:p w14:paraId="69A65348" w14:textId="39F50532" w:rsidR="00AB4501" w:rsidRDefault="00AB450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Wykonawca w imieniu i na rzecz zamawiającego złoży wniosek o uzyskanie decyzji o zezwoleniu na realizację inwestycji drogowej (ZRID) oraz uzyska ww. decyzj</w:t>
      </w:r>
      <w:r w:rsidR="00DC289A">
        <w:rPr>
          <w:rFonts w:ascii="Arial" w:eastAsia="Calibri" w:hAnsi="Arial" w:cs="Arial"/>
          <w:sz w:val="24"/>
          <w:szCs w:val="24"/>
        </w:rPr>
        <w:t>ę.</w:t>
      </w:r>
      <w:r w:rsidR="009D14BA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>Wykonawca przygotuje wniosek wraz z niezbędnymi dokumentami, załącznikami</w:t>
      </w:r>
      <w:r w:rsidR="00393396">
        <w:rPr>
          <w:rFonts w:ascii="Arial" w:eastAsia="Calibri" w:hAnsi="Arial" w:cs="Arial"/>
          <w:sz w:val="24"/>
          <w:szCs w:val="24"/>
        </w:rPr>
        <w:t>.</w:t>
      </w:r>
      <w:r w:rsidR="005456BB">
        <w:rPr>
          <w:rFonts w:ascii="Arial" w:eastAsia="Calibri" w:hAnsi="Arial" w:cs="Arial"/>
          <w:sz w:val="24"/>
          <w:szCs w:val="24"/>
        </w:rPr>
        <w:t xml:space="preserve"> </w:t>
      </w:r>
      <w:r w:rsidR="005456BB" w:rsidRPr="005456BB">
        <w:rPr>
          <w:rFonts w:ascii="Arial" w:eastAsia="Calibri" w:hAnsi="Arial" w:cs="Arial"/>
          <w:sz w:val="24"/>
          <w:szCs w:val="24"/>
        </w:rPr>
        <w:t xml:space="preserve">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="005456BB" w:rsidRPr="005456BB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="005456BB">
        <w:rPr>
          <w:rFonts w:ascii="Arial" w:eastAsia="Calibri" w:hAnsi="Arial" w:cs="Arial"/>
          <w:sz w:val="24"/>
          <w:szCs w:val="24"/>
        </w:rPr>
        <w:t>.</w:t>
      </w:r>
    </w:p>
    <w:p w14:paraId="2CD5D197" w14:textId="77777777" w:rsidR="00DF2772" w:rsidRDefault="00DF2772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B84B99F" w14:textId="7E181DF3" w:rsidR="00E5517C" w:rsidRPr="00E5517C" w:rsidRDefault="00E5517C" w:rsidP="00E5517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517C">
        <w:rPr>
          <w:rFonts w:ascii="Arial" w:eastAsia="Calibri" w:hAnsi="Arial" w:cs="Arial"/>
          <w:b/>
          <w:bCs/>
          <w:sz w:val="24"/>
          <w:szCs w:val="24"/>
        </w:rPr>
        <w:t>Obowiązki wykonawcy</w:t>
      </w:r>
    </w:p>
    <w:p w14:paraId="42DCBD44" w14:textId="77777777" w:rsidR="00E5517C" w:rsidRPr="00AB4501" w:rsidRDefault="00E5517C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CA1601" w14:textId="77777777" w:rsidR="001349DE" w:rsidRPr="00BE42D6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42D6">
        <w:rPr>
          <w:rFonts w:ascii="Arial" w:eastAsia="Calibri" w:hAnsi="Arial" w:cs="Arial"/>
          <w:sz w:val="24"/>
          <w:szCs w:val="24"/>
        </w:rPr>
        <w:t>Zamówienie należy realizować zgodnie z przepisami prawa polskiego, prawa budowlanego</w:t>
      </w:r>
      <w:r w:rsidRPr="00890C3E">
        <w:rPr>
          <w:rFonts w:ascii="Arial" w:eastAsia="Calibri" w:hAnsi="Arial" w:cs="Arial"/>
          <w:sz w:val="24"/>
          <w:szCs w:val="24"/>
        </w:rPr>
        <w:t>, ustawy o szczególnych zasadach przygotowania i realizacji inwestycji w zakresie dróg publicznych,</w:t>
      </w:r>
      <w:r w:rsidRPr="00BE42D6">
        <w:rPr>
          <w:rFonts w:ascii="Arial" w:eastAsia="Calibri" w:hAnsi="Arial" w:cs="Arial"/>
          <w:sz w:val="24"/>
          <w:szCs w:val="24"/>
        </w:rPr>
        <w:t xml:space="preserve"> prawa zamówień publicznych oraz przepisami wykonawczymi do ww. ustaw. Wykonawca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61BAF030" w14:textId="77777777" w:rsidR="001349DE" w:rsidRPr="00BE42D6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3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3"/>
    <w:p w14:paraId="5B9D5ABF" w14:textId="77777777" w:rsidR="001349D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Pr="006131F5">
        <w:rPr>
          <w:rFonts w:ascii="Arial" w:hAnsi="Arial" w:cs="Arial"/>
        </w:rPr>
        <w:t xml:space="preserve">Dokumentacja musi umożliwiać </w:t>
      </w:r>
      <w:r>
        <w:rPr>
          <w:rFonts w:ascii="Arial" w:hAnsi="Arial" w:cs="Arial"/>
        </w:rPr>
        <w:t>wszczęcie</w:t>
      </w:r>
      <w:r w:rsidRPr="006131F5">
        <w:rPr>
          <w:rFonts w:ascii="Arial" w:hAnsi="Arial" w:cs="Arial"/>
        </w:rPr>
        <w:t xml:space="preserve"> i przeprowadzenie postępowania o udzielenie zamówienia publicznego </w:t>
      </w:r>
      <w:r>
        <w:rPr>
          <w:rFonts w:ascii="Arial" w:hAnsi="Arial" w:cs="Arial"/>
        </w:rPr>
        <w:t xml:space="preserve">na roboty budowlane </w:t>
      </w:r>
      <w:r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zgodnie z przepisami, normami, zasadami sztuki budowlanej oraz zasadami wiedzy technicznej, bez wad, a także w sposób nadający się do eksploatacji. </w:t>
      </w:r>
    </w:p>
    <w:p w14:paraId="3EAF2E26" w14:textId="77777777" w:rsidR="001349DE" w:rsidRPr="0025638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eastAsia="Calibri" w:hAnsi="Arial" w:cs="Arial"/>
        </w:rPr>
      </w:pPr>
      <w:r w:rsidRPr="0025638E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Pr="0025638E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Wykonawca jest zobowiązany do podania kryteriów (parametrów materiałów / wyrobów), które pozwolą na ocenę równoważności materiałów / wyrobów. </w:t>
      </w:r>
      <w:r w:rsidRPr="0025638E">
        <w:rPr>
          <w:rFonts w:ascii="Arial" w:hAnsi="Arial" w:cs="Arial"/>
        </w:rPr>
        <w:t xml:space="preserve">Wykonawca musi uzyskać wcześniej zgodę zamawiającego na takie wskazanie. </w:t>
      </w:r>
    </w:p>
    <w:p w14:paraId="618A3CB2" w14:textId="77777777" w:rsidR="001349DE" w:rsidRPr="0025638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25638E">
        <w:rPr>
          <w:rFonts w:ascii="Arial" w:hAnsi="Arial" w:cs="Arial"/>
        </w:rPr>
        <w:lastRenderedPageBreak/>
        <w:t xml:space="preserve">W przypadku, gdy wykonawca używa w opracowanej dokumentacji projektowej odniesień do norm, ocen technicznych, specyfikacji technicznych i systemów referencji technicznych, o których mowa w art. 101 ust. 1 pkt 2 oraz ust. 3 ustawy z dnia 11 września 2019 r. </w:t>
      </w:r>
      <w:r w:rsidRPr="0025638E">
        <w:rPr>
          <w:rFonts w:ascii="Arial" w:hAnsi="Arial" w:cs="Arial"/>
          <w:i/>
          <w:iCs/>
        </w:rPr>
        <w:t>Prawo zamówień publicznych,</w:t>
      </w:r>
      <w:r w:rsidRPr="0025638E">
        <w:rPr>
          <w:rFonts w:ascii="Arial" w:hAnsi="Arial" w:cs="Arial"/>
        </w:rPr>
        <w:t xml:space="preserve"> wykonawca jest zobowiązany wskazać, że należy je rozumieć jako przykładowe i że dopuszcza rozwiązania równoważne opisywanym. Wykonawca wskazuje, że ww. odniesieniu towarzyszą wyrazy „lub równoważne”. Wykonawca jest zobowiązany określić szczegółowe warunki, które umożliwią dopuszczenie innych rozwiązań jako równoważnych. </w:t>
      </w:r>
    </w:p>
    <w:p w14:paraId="0F477127" w14:textId="77777777" w:rsidR="001349DE" w:rsidRPr="00C52BE4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4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4"/>
      <w:r>
        <w:rPr>
          <w:rFonts w:ascii="Arial" w:eastAsia="Calibri" w:hAnsi="Arial" w:cs="Arial"/>
        </w:rPr>
        <w:t>.</w:t>
      </w:r>
    </w:p>
    <w:p w14:paraId="42CC9BA4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3E7BBE71" w14:textId="77777777" w:rsidR="001349DE" w:rsidRPr="00890C3E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  <w:color w:val="auto"/>
        </w:rPr>
      </w:pPr>
      <w:r w:rsidRPr="00890C3E">
        <w:rPr>
          <w:rFonts w:ascii="Arial" w:eastAsia="Calibri" w:hAnsi="Arial" w:cs="Arial"/>
          <w:color w:val="auto"/>
        </w:rPr>
        <w:t>D</w:t>
      </w:r>
      <w:r w:rsidRPr="00890C3E">
        <w:rPr>
          <w:rFonts w:ascii="Arial" w:eastAsia="Calibri" w:hAnsi="Arial" w:cs="Arial"/>
          <w:bCs/>
          <w:color w:val="auto"/>
        </w:rPr>
        <w:t xml:space="preserve">okumentacja musi zostać sporządzona w sposób zgodny z ustaleniami ustawy z dnia 19 lipca 2019 r. </w:t>
      </w:r>
      <w:r w:rsidRPr="00890C3E">
        <w:rPr>
          <w:rFonts w:ascii="Arial" w:eastAsia="Calibri" w:hAnsi="Arial" w:cs="Arial"/>
          <w:bCs/>
          <w:i/>
          <w:color w:val="auto"/>
        </w:rPr>
        <w:t xml:space="preserve">o zapewnianiu dostępności osobom ze szczególnymi potrzebami </w:t>
      </w:r>
      <w:r w:rsidRPr="00890C3E">
        <w:rPr>
          <w:rFonts w:ascii="Arial" w:eastAsia="Calibri" w:hAnsi="Arial" w:cs="Arial"/>
          <w:bCs/>
          <w:color w:val="auto"/>
        </w:rPr>
        <w:t xml:space="preserve">oraz </w:t>
      </w:r>
      <w:bookmarkStart w:id="5" w:name="_Hlk78881163"/>
      <w:r w:rsidRPr="00890C3E">
        <w:rPr>
          <w:rFonts w:ascii="Arial" w:eastAsia="Calibri" w:hAnsi="Arial" w:cs="Arial"/>
          <w:bCs/>
          <w:color w:val="auto"/>
        </w:rPr>
        <w:t xml:space="preserve">ustawy z dnia 4 kwietnia 2019 r. </w:t>
      </w:r>
      <w:r w:rsidRPr="00890C3E">
        <w:rPr>
          <w:rFonts w:ascii="Arial" w:eastAsia="Calibri" w:hAnsi="Arial" w:cs="Arial"/>
          <w:bCs/>
          <w:i/>
          <w:color w:val="auto"/>
        </w:rPr>
        <w:t>o dostępności cyfrowej stron internetowych i aplikacji mobilnych podmiotów publicznych</w:t>
      </w:r>
      <w:bookmarkEnd w:id="5"/>
      <w:r w:rsidRPr="00890C3E">
        <w:rPr>
          <w:rFonts w:ascii="Arial" w:eastAsia="Calibri" w:hAnsi="Arial" w:cs="Arial"/>
          <w:bCs/>
          <w:color w:val="auto"/>
        </w:rPr>
        <w:t xml:space="preserve">. </w:t>
      </w:r>
    </w:p>
    <w:p w14:paraId="2C45C30D" w14:textId="77777777" w:rsidR="001349DE" w:rsidRPr="00861E96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  <w:color w:val="auto"/>
        </w:rPr>
      </w:pPr>
      <w:r w:rsidRPr="00861E96">
        <w:rPr>
          <w:rFonts w:ascii="Arial" w:eastAsia="Calibri" w:hAnsi="Arial" w:cs="Arial"/>
          <w:color w:val="auto"/>
        </w:rPr>
        <w:t>Zamawiający wymaga, aby zaprojektowane rozwiązania uwzględniały dostępność drogi dla pieszych dla potrzeb wszystkich użytkowników, w tym dla osób niepełnosprawnych</w:t>
      </w:r>
    </w:p>
    <w:p w14:paraId="4240D26A" w14:textId="655AA37A" w:rsidR="00890C3E" w:rsidRPr="002E3A2D" w:rsidRDefault="00890C3E" w:rsidP="00890C3E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3A2D">
        <w:rPr>
          <w:rFonts w:ascii="Arial" w:eastAsia="Calibri" w:hAnsi="Arial" w:cs="Arial"/>
          <w:color w:val="000000" w:themeColor="text1"/>
        </w:rPr>
        <w:t xml:space="preserve">1) </w:t>
      </w:r>
      <w:r>
        <w:rPr>
          <w:rFonts w:ascii="Arial" w:eastAsia="Calibri" w:hAnsi="Arial" w:cs="Arial"/>
          <w:color w:val="000000" w:themeColor="text1"/>
        </w:rPr>
        <w:tab/>
      </w:r>
      <w:r w:rsidRPr="002E3A2D">
        <w:rPr>
          <w:rFonts w:ascii="Arial" w:hAnsi="Arial" w:cs="Arial"/>
          <w:color w:val="000000" w:themeColor="text1"/>
          <w:sz w:val="24"/>
          <w:szCs w:val="24"/>
        </w:rPr>
        <w:t>pasy ostrzegawcze przed przejściem dla pieszych,</w:t>
      </w:r>
    </w:p>
    <w:p w14:paraId="4BD5066C" w14:textId="613E6393" w:rsidR="00890C3E" w:rsidRPr="002E3A2D" w:rsidRDefault="00890C3E" w:rsidP="00890C3E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3A2D">
        <w:rPr>
          <w:rFonts w:ascii="Arial" w:hAnsi="Arial" w:cs="Arial"/>
          <w:color w:val="000000" w:themeColor="text1"/>
          <w:sz w:val="24"/>
          <w:szCs w:val="24"/>
        </w:rPr>
        <w:t xml:space="preserve">2)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2E3A2D">
        <w:rPr>
          <w:rFonts w:ascii="Arial" w:hAnsi="Arial" w:cs="Arial"/>
          <w:color w:val="000000" w:themeColor="text1"/>
          <w:sz w:val="24"/>
          <w:szCs w:val="24"/>
        </w:rPr>
        <w:t xml:space="preserve">obniżone krawężniki. </w:t>
      </w:r>
    </w:p>
    <w:p w14:paraId="69FEE604" w14:textId="2B27FE14" w:rsidR="001349DE" w:rsidRPr="00F1419E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  <w:color w:val="auto"/>
        </w:rPr>
      </w:pPr>
      <w:r w:rsidRPr="00F1419E">
        <w:rPr>
          <w:rFonts w:ascii="Arial" w:eastAsia="Calibri" w:hAnsi="Arial" w:cs="Arial"/>
          <w:color w:val="auto"/>
        </w:rPr>
        <w:t>Wykonawca, na etapie postępowania na realizację robót budowlanych będzie zobowiązany do udzielania niezbędnych wyjaśnień, odpowiedzi na pytania dot. opracowanej dokumentacji projektowej,</w:t>
      </w:r>
      <w:r w:rsidRPr="00F1419E">
        <w:rPr>
          <w:rFonts w:ascii="Arial" w:hAnsi="Arial" w:cs="Arial"/>
          <w:color w:val="auto"/>
        </w:rPr>
        <w:t xml:space="preserve"> przyjętych w dokumentacji rozwiązań projektowych, sporządzonych przedmiarów, specyfikacji technicznych wykonania i odbioru robót. Wykonawca będzie zobowiązany do wprowadzanie ewentualnych poprawek lub uzupełnień do opracowanej i przekazanej zamawiającemu dokumentacji projektowej w trakcie prowadzonego postępowania o udzielenie zamówienia publicznego na wykonanie robót budowlanych. </w:t>
      </w:r>
      <w:r w:rsidRPr="00F1419E">
        <w:rPr>
          <w:rFonts w:ascii="Arial" w:eastAsia="Calibri" w:hAnsi="Arial" w:cs="Arial"/>
          <w:color w:val="auto"/>
        </w:rPr>
        <w:t xml:space="preserve">Osoby, które w imieniu wykonawcy będą udzielały wyjaśnień / odpowiedzi będą zobowiązane do złożenia oświadczeń w trybie itp. 56 ust. 4 ustawy </w:t>
      </w:r>
      <w:r w:rsidRPr="00F1419E">
        <w:rPr>
          <w:rFonts w:ascii="Arial" w:eastAsia="Calibri" w:hAnsi="Arial" w:cs="Arial"/>
          <w:i/>
          <w:color w:val="auto"/>
        </w:rPr>
        <w:t>Prawo zamówień publicznych</w:t>
      </w:r>
      <w:r w:rsidRPr="00F1419E">
        <w:rPr>
          <w:rFonts w:ascii="Arial" w:eastAsia="Calibri" w:hAnsi="Arial" w:cs="Arial"/>
          <w:color w:val="auto"/>
        </w:rPr>
        <w:t xml:space="preserve">. Odpowiedzi / wyjaśnienia wraz z wymaganymi ewentualnymi załącznikami wykonawca będzie udostępniał zamawiającemu w postaci elektronicznej w terminie </w:t>
      </w:r>
      <w:r w:rsidR="003B0CAC">
        <w:rPr>
          <w:rFonts w:ascii="Arial" w:eastAsia="Calibri" w:hAnsi="Arial" w:cs="Arial"/>
          <w:color w:val="auto"/>
        </w:rPr>
        <w:t>do</w:t>
      </w:r>
      <w:r w:rsidRPr="00F1419E">
        <w:rPr>
          <w:rFonts w:ascii="Arial" w:eastAsia="Calibri" w:hAnsi="Arial" w:cs="Arial"/>
          <w:color w:val="auto"/>
        </w:rPr>
        <w:t xml:space="preserve"> 3 dni od daty otrzymania wezwania do złożenia wyjaśnień / odpowiedzi, które zamawiający prześle wykonawcy w drogą elektroniczną.  W wyjątkowych sytuacjach, tj. konieczności opracowania dodatkowych materiałów, dokonania obliczeń itp. na potrzeby udzielenia odpowiedzi / wyjaśnień,  termin na złożenie wyjaśnień / odpowiedzi zostanie określony odrębnie na podstawie ustaleń pomiędzy zamawiającym a wykonawcą.</w:t>
      </w:r>
    </w:p>
    <w:p w14:paraId="72CB0689" w14:textId="77777777" w:rsidR="001349DE" w:rsidRPr="00A039B6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</w:rPr>
      </w:pPr>
      <w:r w:rsidRPr="00F1419E">
        <w:rPr>
          <w:rFonts w:ascii="Arial" w:hAnsi="Arial" w:cs="Arial"/>
          <w:color w:val="auto"/>
        </w:rPr>
        <w:t xml:space="preserve">Poszczególne opracowania branżowe </w:t>
      </w:r>
      <w:r w:rsidRPr="00A039B6">
        <w:rPr>
          <w:rFonts w:ascii="Arial" w:hAnsi="Arial" w:cs="Arial"/>
        </w:rPr>
        <w:t xml:space="preserve">powinny zawierać m.in. opis techniczny, obliczenia techniczne, rysunki techniczne. Dokumentacja powinna zawierać wszystkie niezbędne uzgodnienia, w tym również uzgodnienie z </w:t>
      </w:r>
      <w:r>
        <w:rPr>
          <w:rFonts w:ascii="Arial" w:hAnsi="Arial" w:cs="Arial"/>
        </w:rPr>
        <w:t>z</w:t>
      </w:r>
      <w:r w:rsidRPr="00A039B6">
        <w:rPr>
          <w:rFonts w:ascii="Arial" w:hAnsi="Arial" w:cs="Arial"/>
        </w:rPr>
        <w:t xml:space="preserve">amawiającym. </w:t>
      </w:r>
    </w:p>
    <w:p w14:paraId="71C6A2DD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zakresie wynikającym z przepisów, a także spis opracowań dokumentacji składających się na komplet przedmiotu zamówienia. </w:t>
      </w:r>
    </w:p>
    <w:p w14:paraId="6C62E41B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28D5C856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właściwej terytorialnie naradzie koordynacyjnej (Referat Uzgadniania Dokumentacji Projektowej Starostwa Powiatowego w Kartuzach). </w:t>
      </w:r>
    </w:p>
    <w:p w14:paraId="2C734DB5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5E78D0A6" w14:textId="32E09940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warunków zamówienia) niezbędne dla wykonania przedmiotu zamówienia wykonawca uzyska własnym staraniem i kosztem. </w:t>
      </w:r>
    </w:p>
    <w:p w14:paraId="5BE95D79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22B3DDC0" w14:textId="77777777" w:rsidR="001349DE" w:rsidRPr="00930DF9" w:rsidRDefault="001349DE" w:rsidP="001349DE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694ECCB7" w14:textId="77777777" w:rsidR="001349DE" w:rsidRPr="00930DF9" w:rsidRDefault="001349DE" w:rsidP="001349DE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0F106AA4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  <w:r>
        <w:rPr>
          <w:rFonts w:ascii="Arial" w:eastAsia="Calibri" w:hAnsi="Arial" w:cs="Arial"/>
          <w:sz w:val="24"/>
          <w:szCs w:val="24"/>
        </w:rPr>
        <w:t xml:space="preserve">W trakcie prac projektowych należy liczyć się z możliwością powstania dodatkowych problemów i kolizji zarówno z nieujawnionymi sieciami podziemnymi jak i innymi urządzeniami. Wszystkie te zagadnienia winny być rozwiązane przez wykonawcę w ramach złożonej oferty bez dodatkowego wynagrodzenia. </w:t>
      </w:r>
    </w:p>
    <w:p w14:paraId="03D7C71C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07FE3320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</w:t>
      </w:r>
      <w:r w:rsidRPr="00FF6006">
        <w:rPr>
          <w:rFonts w:ascii="Arial" w:eastAsia="Calibri" w:hAnsi="Arial" w:cs="Arial"/>
          <w:i/>
          <w:iCs/>
          <w:sz w:val="24"/>
          <w:szCs w:val="24"/>
        </w:rPr>
        <w:t>prawo budowlane</w:t>
      </w:r>
      <w:r w:rsidRPr="00930DF9">
        <w:rPr>
          <w:rFonts w:ascii="Arial" w:eastAsia="Calibri" w:hAnsi="Arial" w:cs="Arial"/>
          <w:sz w:val="24"/>
          <w:szCs w:val="24"/>
        </w:rPr>
        <w:t xml:space="preserve">. </w:t>
      </w:r>
    </w:p>
    <w:p w14:paraId="3DFBFDB6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0740F39B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61CE3588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niezwłocznego przekazania zamawiającemu informacji o zgłoszeniu przez właścicieli lub użytkowników wieczystych nieruchomości oczekiwań / żądań dotyczących wyrażenia zgody na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udostępnienie nieruchomości, kategorycznej odmowy udostępnienia terenu bądź informacji o nieuregulowanym stanie prawnym nieruchomości. </w:t>
      </w:r>
    </w:p>
    <w:p w14:paraId="3EE89366" w14:textId="77777777" w:rsidR="001349DE" w:rsidRPr="00C52BE4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7B6B8698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67176D8D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uprawnienia budowlane do projektowania w odpowiedniej specjalności. Wykonawca musi zapewnić zespól weryfikacyjny (sprawdzający) we wszystkich branżach, jakie będzie obejmowała dokumentacja projektowa. </w:t>
      </w:r>
    </w:p>
    <w:p w14:paraId="08D2AFA4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15A8CBE5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07A2D534" w14:textId="77777777" w:rsidR="001349DE" w:rsidRPr="00D12BE4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Jeden egzemplarz projektu budow</w:t>
      </w:r>
      <w:r w:rsidRPr="00930DF9">
        <w:rPr>
          <w:rFonts w:ascii="Arial" w:eastAsia="Calibri" w:hAnsi="Arial" w:cs="Arial"/>
          <w:sz w:val="24"/>
          <w:szCs w:val="24"/>
        </w:rPr>
        <w:t>l</w:t>
      </w:r>
      <w:r>
        <w:rPr>
          <w:rFonts w:ascii="Arial" w:eastAsia="Calibri" w:hAnsi="Arial" w:cs="Arial"/>
          <w:sz w:val="24"/>
          <w:szCs w:val="24"/>
        </w:rPr>
        <w:t>a</w:t>
      </w:r>
      <w:r w:rsidRPr="00930DF9">
        <w:rPr>
          <w:rFonts w:ascii="Arial" w:eastAsia="Calibri" w:hAnsi="Arial" w:cs="Arial"/>
          <w:sz w:val="24"/>
          <w:szCs w:val="24"/>
        </w:rPr>
        <w:t xml:space="preserve">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0CD9EA89" w14:textId="77777777" w:rsidR="001349DE" w:rsidRPr="003A47FB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A47FB">
        <w:rPr>
          <w:rFonts w:ascii="Arial" w:eastAsia="Calibri" w:hAnsi="Arial" w:cs="Arial"/>
          <w:sz w:val="24"/>
          <w:szCs w:val="24"/>
        </w:rPr>
        <w:t xml:space="preserve">Dokumentacja nie będzie zawierała danych osobowych zgodnie z rozporządzeniem Parlamentu Europejskiego i Rady (UE) 2016/679 z dnia 27 kwietnia 2016 r. </w:t>
      </w:r>
      <w:r w:rsidRPr="003A47FB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47FB">
        <w:rPr>
          <w:rFonts w:ascii="Arial" w:eastAsia="Calibri" w:hAnsi="Arial" w:cs="Arial"/>
          <w:sz w:val="24"/>
          <w:szCs w:val="24"/>
        </w:rPr>
        <w:t xml:space="preserve"> (Dz. Urz. UE L 119 z 04.05.2016, str. 1).</w:t>
      </w:r>
    </w:p>
    <w:p w14:paraId="1F07378E" w14:textId="77777777" w:rsidR="001349DE" w:rsidRPr="00CB15A7" w:rsidRDefault="001349DE" w:rsidP="001349DE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2EAF562" w14:textId="2458FAA6" w:rsidR="001349DE" w:rsidRPr="006C2F9C" w:rsidRDefault="001349DE" w:rsidP="001349DE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V.  </w:t>
      </w:r>
      <w:r w:rsidRPr="006C2F9C">
        <w:rPr>
          <w:rFonts w:ascii="Arial" w:hAnsi="Arial" w:cs="Arial"/>
          <w:b/>
          <w:sz w:val="24"/>
          <w:szCs w:val="24"/>
        </w:rPr>
        <w:tab/>
        <w:t>Podwykonawcy</w:t>
      </w:r>
    </w:p>
    <w:p w14:paraId="3AD4B6A6" w14:textId="77777777" w:rsidR="001349DE" w:rsidRPr="006C2F9C" w:rsidRDefault="001349DE" w:rsidP="001349DE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0D6FD680" w14:textId="77777777" w:rsidR="001349DE" w:rsidRPr="006C2F9C" w:rsidRDefault="001349DE" w:rsidP="001349DE">
      <w:pPr>
        <w:pStyle w:val="Tekstpodstawowywcity31"/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168497F6" w14:textId="6D6406C3" w:rsidR="001349DE" w:rsidRPr="006C2F9C" w:rsidRDefault="001349DE" w:rsidP="001349DE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="00A01581">
        <w:rPr>
          <w:rFonts w:ascii="Arial" w:hAnsi="Arial" w:cs="Arial"/>
          <w:bCs/>
          <w:szCs w:val="24"/>
        </w:rPr>
        <w:t xml:space="preserve"> </w:t>
      </w:r>
      <w:r w:rsidRPr="00AF7540">
        <w:rPr>
          <w:rFonts w:ascii="Arial" w:hAnsi="Arial" w:cs="Arial"/>
          <w:b w:val="0"/>
          <w:szCs w:val="24"/>
        </w:rPr>
        <w:t>do SWZ</w:t>
      </w:r>
      <w:r>
        <w:rPr>
          <w:rFonts w:ascii="Arial" w:hAnsi="Arial" w:cs="Arial"/>
          <w:b w:val="0"/>
          <w:szCs w:val="24"/>
        </w:rPr>
        <w:t xml:space="preserve"> 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77C67954" w14:textId="77777777" w:rsidR="001349DE" w:rsidRPr="006C2F9C" w:rsidRDefault="001349DE" w:rsidP="001349DE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42977DD" w14:textId="049466D5" w:rsidR="001349DE" w:rsidRPr="006C2F9C" w:rsidRDefault="001349DE" w:rsidP="001349DE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VI. </w:t>
      </w:r>
      <w:r w:rsidRPr="006C2F9C">
        <w:rPr>
          <w:rFonts w:ascii="Arial" w:hAnsi="Arial" w:cs="Arial"/>
          <w:b/>
          <w:sz w:val="24"/>
          <w:szCs w:val="24"/>
        </w:rPr>
        <w:tab/>
        <w:t>Spotkania robocze</w:t>
      </w:r>
    </w:p>
    <w:p w14:paraId="15E825F1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043B10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6B5A843D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0A90178B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4E3DAE1" w14:textId="5D8EE95F" w:rsidR="001349DE" w:rsidRPr="006C2F9C" w:rsidRDefault="001349DE" w:rsidP="001349DE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>VI</w:t>
      </w:r>
      <w:r w:rsidR="00D058CD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</w:t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sz w:val="24"/>
          <w:szCs w:val="24"/>
        </w:rPr>
        <w:t>Rękojmia</w:t>
      </w:r>
    </w:p>
    <w:p w14:paraId="4450CA19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5EB2F" w14:textId="77777777" w:rsidR="001349DE" w:rsidRPr="009927B8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1. </w:t>
      </w:r>
      <w:r w:rsidRPr="009927B8">
        <w:rPr>
          <w:rFonts w:ascii="Arial" w:eastAsia="Calibri" w:hAnsi="Arial" w:cs="Arial"/>
          <w:sz w:val="24"/>
          <w:szCs w:val="24"/>
        </w:rPr>
        <w:tab/>
        <w:t>Bieg terminu rękojmi rozpocznie się z dniem podpisania protokołu odbioru końcowego.</w:t>
      </w:r>
    </w:p>
    <w:p w14:paraId="62FC5C90" w14:textId="77777777" w:rsidR="001349DE" w:rsidRPr="009927B8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2. </w:t>
      </w:r>
      <w:r w:rsidRPr="009927B8">
        <w:rPr>
          <w:rFonts w:ascii="Arial" w:eastAsia="Calibri" w:hAnsi="Arial" w:cs="Arial"/>
          <w:sz w:val="24"/>
          <w:szCs w:val="24"/>
        </w:rPr>
        <w:tab/>
        <w:t>Okres rękojmi na wykonaną dokumentację projektową będzie nie krótszy niż 36 miesięcy. Wykonawca poda długość okres u rękojmi w formularzu ofertowym -</w:t>
      </w:r>
      <w:r w:rsidRPr="009927B8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9927B8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0677EF23" w14:textId="77777777" w:rsidR="001349DE" w:rsidRPr="00F92649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92649">
        <w:rPr>
          <w:rFonts w:ascii="Arial" w:eastAsia="Calibri" w:hAnsi="Arial" w:cs="Arial"/>
          <w:sz w:val="24"/>
          <w:szCs w:val="24"/>
        </w:rPr>
        <w:t>3.</w:t>
      </w:r>
      <w:r w:rsidRPr="00F92649">
        <w:rPr>
          <w:rFonts w:ascii="Arial" w:eastAsia="Calibri" w:hAnsi="Arial" w:cs="Arial"/>
          <w:sz w:val="24"/>
          <w:szCs w:val="24"/>
        </w:rPr>
        <w:tab/>
        <w:t xml:space="preserve">Zabezpieczenie należytego wykonania umowy wykonawca jest zobowiązany wnieść na okres rękojmi. </w:t>
      </w:r>
    </w:p>
    <w:p w14:paraId="421DB7A1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091A71E2" w14:textId="0C60B3BD" w:rsidR="001349DE" w:rsidRPr="006C2F9C" w:rsidRDefault="00D058CD" w:rsidP="001349DE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1349DE" w:rsidRPr="006C2F9C">
        <w:rPr>
          <w:rFonts w:ascii="Arial" w:hAnsi="Arial" w:cs="Arial"/>
          <w:b/>
          <w:sz w:val="24"/>
          <w:szCs w:val="24"/>
        </w:rPr>
        <w:t xml:space="preserve">.  </w:t>
      </w:r>
      <w:r w:rsidR="001349DE" w:rsidRPr="006C2F9C">
        <w:rPr>
          <w:rFonts w:ascii="Arial" w:hAnsi="Arial" w:cs="Arial"/>
          <w:b/>
          <w:sz w:val="24"/>
          <w:szCs w:val="24"/>
        </w:rPr>
        <w:tab/>
        <w:t>Odbiory</w:t>
      </w:r>
    </w:p>
    <w:p w14:paraId="568FAF23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3EA8DB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</w:t>
      </w:r>
      <w:r w:rsidRPr="00A766FD">
        <w:rPr>
          <w:rFonts w:ascii="Arial" w:eastAsia="Calibri" w:hAnsi="Arial" w:cs="Arial"/>
          <w:sz w:val="24"/>
          <w:szCs w:val="24"/>
        </w:rPr>
        <w:t xml:space="preserve">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Podczas przekazania dokumentacji projektowo –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kosztorysowej zostanie spisany protokół przekazania.</w:t>
      </w:r>
    </w:p>
    <w:p w14:paraId="3BE0BCEA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37BC314E" w14:textId="77777777" w:rsidR="001349DE" w:rsidRDefault="001349DE" w:rsidP="001349DE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do SWZ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–</w:t>
      </w:r>
      <w:r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49BC3E13" w14:textId="77777777" w:rsidR="001349DE" w:rsidRDefault="001349DE" w:rsidP="001349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5A63658" w14:textId="74DC23E0" w:rsidR="001349DE" w:rsidRDefault="00D058CD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 xml:space="preserve">X. </w:t>
      </w:r>
      <w:r w:rsidR="001349DE">
        <w:rPr>
          <w:rFonts w:ascii="Arial" w:eastAsia="Calibri" w:hAnsi="Arial" w:cs="Arial"/>
          <w:b/>
          <w:bCs/>
          <w:sz w:val="24"/>
          <w:szCs w:val="24"/>
        </w:rPr>
        <w:tab/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647FA6D5" w14:textId="77777777" w:rsidR="001349DE" w:rsidRPr="00962C88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>Przedmiot zamówienia należy wykonać zgodnie z obowiązującymi przepisami, ustawami i rozporządzeniami, w szczególności:</w:t>
      </w:r>
    </w:p>
    <w:p w14:paraId="1030238E" w14:textId="77777777" w:rsidR="001349DE" w:rsidRP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349DE">
        <w:rPr>
          <w:rFonts w:ascii="Arial" w:hAnsi="Arial" w:cs="Arial"/>
          <w:sz w:val="24"/>
          <w:szCs w:val="24"/>
        </w:rPr>
        <w:t xml:space="preserve">Ustawą z dnia 10 kwietnia 2003 r. </w:t>
      </w:r>
      <w:r w:rsidRPr="001349DE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Pr="001349DE">
        <w:rPr>
          <w:rFonts w:ascii="Arial" w:hAnsi="Arial" w:cs="Arial"/>
          <w:sz w:val="24"/>
          <w:szCs w:val="24"/>
        </w:rPr>
        <w:t>;</w:t>
      </w:r>
    </w:p>
    <w:p w14:paraId="21D0C0D3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7 lipca 1994 r. </w:t>
      </w:r>
      <w:r w:rsidRPr="00EE2EC5">
        <w:rPr>
          <w:rFonts w:ascii="Arial" w:hAnsi="Arial" w:cs="Arial"/>
          <w:i/>
          <w:iCs/>
          <w:sz w:val="24"/>
          <w:szCs w:val="24"/>
        </w:rPr>
        <w:t>Prawo budowlane</w:t>
      </w:r>
      <w:r>
        <w:rPr>
          <w:rFonts w:ascii="Arial" w:hAnsi="Arial" w:cs="Arial"/>
          <w:sz w:val="24"/>
          <w:szCs w:val="24"/>
        </w:rPr>
        <w:t>;</w:t>
      </w:r>
    </w:p>
    <w:p w14:paraId="60822801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973B3">
        <w:rPr>
          <w:rFonts w:ascii="Arial" w:hAnsi="Arial" w:cs="Arial"/>
          <w:sz w:val="24"/>
          <w:szCs w:val="24"/>
        </w:rPr>
        <w:t xml:space="preserve">Ustawą z dnia 21 marca 1985 r. </w:t>
      </w:r>
      <w:r w:rsidRPr="000973B3">
        <w:rPr>
          <w:rFonts w:ascii="Arial" w:hAnsi="Arial" w:cs="Arial"/>
          <w:i/>
          <w:iCs/>
          <w:sz w:val="24"/>
          <w:szCs w:val="24"/>
        </w:rPr>
        <w:t>o drogach publicznych</w:t>
      </w:r>
      <w:r>
        <w:rPr>
          <w:rFonts w:ascii="Arial" w:hAnsi="Arial" w:cs="Arial"/>
          <w:i/>
          <w:iCs/>
          <w:sz w:val="24"/>
          <w:szCs w:val="24"/>
        </w:rPr>
        <w:t>;</w:t>
      </w:r>
      <w:r w:rsidRPr="000973B3">
        <w:rPr>
          <w:rFonts w:ascii="Arial" w:hAnsi="Arial" w:cs="Arial"/>
          <w:sz w:val="24"/>
          <w:szCs w:val="24"/>
        </w:rPr>
        <w:t xml:space="preserve"> </w:t>
      </w:r>
    </w:p>
    <w:p w14:paraId="7C45A7E5" w14:textId="77777777" w:rsidR="001349DE" w:rsidRPr="000973B3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20 czerwca 1997 r. </w:t>
      </w:r>
      <w:r w:rsidRPr="00AA54B4">
        <w:rPr>
          <w:rFonts w:ascii="Arial" w:hAnsi="Arial" w:cs="Arial"/>
          <w:i/>
          <w:sz w:val="24"/>
          <w:szCs w:val="24"/>
        </w:rPr>
        <w:t>Prawo o ruchu drogowym</w:t>
      </w:r>
      <w:r>
        <w:rPr>
          <w:rFonts w:ascii="Arial" w:hAnsi="Arial" w:cs="Arial"/>
          <w:sz w:val="24"/>
          <w:szCs w:val="24"/>
        </w:rPr>
        <w:t>;</w:t>
      </w:r>
    </w:p>
    <w:p w14:paraId="1746EDDC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3 października 2008 r. </w:t>
      </w:r>
      <w:r w:rsidRPr="00EE2EC5">
        <w:rPr>
          <w:rFonts w:ascii="Arial" w:hAnsi="Arial" w:cs="Arial"/>
          <w:i/>
          <w:iCs/>
          <w:sz w:val="24"/>
          <w:szCs w:val="24"/>
        </w:rPr>
        <w:t>o udostępnianiu informacji o środowisku i jego ochronie, udziale społeczeństwa w ochronie środowiska oraz ocenach oddziaływania na środowisko;</w:t>
      </w:r>
      <w:r w:rsidRPr="00EE2EC5">
        <w:rPr>
          <w:rFonts w:ascii="Arial" w:hAnsi="Arial" w:cs="Arial"/>
          <w:sz w:val="24"/>
          <w:szCs w:val="24"/>
        </w:rPr>
        <w:t xml:space="preserve"> </w:t>
      </w:r>
    </w:p>
    <w:p w14:paraId="171FD988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27 kwietnia 2001 r. </w:t>
      </w:r>
      <w:r w:rsidRPr="00AA54B4">
        <w:rPr>
          <w:rFonts w:ascii="Arial" w:hAnsi="Arial" w:cs="Arial"/>
          <w:i/>
          <w:sz w:val="24"/>
          <w:szCs w:val="24"/>
        </w:rPr>
        <w:t>Prawo ochrony środowiska</w:t>
      </w:r>
      <w:r>
        <w:rPr>
          <w:rFonts w:ascii="Arial" w:hAnsi="Arial" w:cs="Arial"/>
          <w:sz w:val="24"/>
          <w:szCs w:val="24"/>
        </w:rPr>
        <w:t>;</w:t>
      </w:r>
    </w:p>
    <w:p w14:paraId="3BE8EA42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20 lipca 2017 r. </w:t>
      </w:r>
      <w:r w:rsidRPr="00EE2EC5">
        <w:rPr>
          <w:rFonts w:ascii="Arial" w:hAnsi="Arial" w:cs="Arial"/>
          <w:i/>
          <w:iCs/>
          <w:sz w:val="24"/>
          <w:szCs w:val="24"/>
        </w:rPr>
        <w:t>Prawo wodne</w:t>
      </w:r>
      <w:r>
        <w:rPr>
          <w:rFonts w:ascii="Arial" w:hAnsi="Arial" w:cs="Arial"/>
          <w:sz w:val="24"/>
          <w:szCs w:val="24"/>
        </w:rPr>
        <w:t>;</w:t>
      </w:r>
    </w:p>
    <w:p w14:paraId="716FB420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9 czerwca 2011 r. </w:t>
      </w:r>
      <w:r w:rsidRPr="00EE2EC5">
        <w:rPr>
          <w:rFonts w:ascii="Arial" w:hAnsi="Arial" w:cs="Arial"/>
          <w:i/>
          <w:iCs/>
          <w:sz w:val="24"/>
          <w:szCs w:val="24"/>
        </w:rPr>
        <w:t>Prawo geologiczne i górnicze</w:t>
      </w:r>
      <w:r>
        <w:rPr>
          <w:rFonts w:ascii="Arial" w:hAnsi="Arial" w:cs="Arial"/>
          <w:sz w:val="24"/>
          <w:szCs w:val="24"/>
        </w:rPr>
        <w:t>;</w:t>
      </w:r>
    </w:p>
    <w:p w14:paraId="655E1AC5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17 maja 1989 r. </w:t>
      </w:r>
      <w:r w:rsidRPr="00EE2EC5">
        <w:rPr>
          <w:rFonts w:ascii="Arial" w:hAnsi="Arial" w:cs="Arial"/>
          <w:i/>
          <w:iCs/>
          <w:sz w:val="24"/>
          <w:szCs w:val="24"/>
        </w:rPr>
        <w:t>Prawo geodezyjne i kartograficzne</w:t>
      </w:r>
      <w:r>
        <w:rPr>
          <w:rFonts w:ascii="Arial" w:hAnsi="Arial" w:cs="Arial"/>
          <w:sz w:val="24"/>
          <w:szCs w:val="24"/>
        </w:rPr>
        <w:t>;</w:t>
      </w:r>
    </w:p>
    <w:p w14:paraId="6635EE2D" w14:textId="77777777" w:rsidR="001349DE" w:rsidRPr="008507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eastAsia="Calibri" w:hAnsi="Arial" w:cs="Arial"/>
          <w:sz w:val="24"/>
          <w:szCs w:val="24"/>
        </w:rPr>
        <w:t xml:space="preserve">Ustawą z dnia 16 kwietnia 2004 r. </w:t>
      </w:r>
      <w:r w:rsidRPr="0085071E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>
        <w:rPr>
          <w:rFonts w:ascii="Arial" w:eastAsia="Calibri" w:hAnsi="Arial" w:cs="Arial"/>
          <w:i/>
          <w:iCs/>
          <w:sz w:val="24"/>
          <w:szCs w:val="24"/>
        </w:rPr>
        <w:t>;</w:t>
      </w:r>
      <w:r w:rsidRPr="0085071E">
        <w:rPr>
          <w:rFonts w:ascii="Arial" w:eastAsia="Calibri" w:hAnsi="Arial" w:cs="Arial"/>
          <w:sz w:val="24"/>
          <w:szCs w:val="24"/>
        </w:rPr>
        <w:t xml:space="preserve"> </w:t>
      </w:r>
    </w:p>
    <w:p w14:paraId="3DFF22CB" w14:textId="77777777" w:rsidR="001349DE" w:rsidRPr="008507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hAnsi="Arial" w:cs="Arial"/>
          <w:sz w:val="24"/>
          <w:szCs w:val="24"/>
        </w:rPr>
        <w:t xml:space="preserve">Ustawą z dnia 11 września 2019 r.  </w:t>
      </w:r>
      <w:r w:rsidRPr="0085071E">
        <w:rPr>
          <w:rFonts w:ascii="Arial" w:hAnsi="Arial" w:cs="Arial"/>
          <w:i/>
          <w:iCs/>
          <w:sz w:val="24"/>
          <w:szCs w:val="24"/>
        </w:rPr>
        <w:t>Prawo zamówień publicznych</w:t>
      </w:r>
      <w:r w:rsidRPr="0085071E">
        <w:rPr>
          <w:rFonts w:ascii="Arial" w:hAnsi="Arial" w:cs="Arial"/>
          <w:sz w:val="24"/>
          <w:szCs w:val="24"/>
        </w:rPr>
        <w:t>;</w:t>
      </w:r>
    </w:p>
    <w:p w14:paraId="7FE6958B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19 lipca 2019 r. </w:t>
      </w:r>
      <w:r w:rsidRPr="00EE2EC5">
        <w:rPr>
          <w:rFonts w:ascii="Arial" w:hAnsi="Arial" w:cs="Arial"/>
          <w:i/>
          <w:iCs/>
          <w:sz w:val="24"/>
          <w:szCs w:val="24"/>
        </w:rPr>
        <w:t>o zapewnieniu dostępności osobom ze szczególnymi potrzebami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4C03E07E" w14:textId="77777777" w:rsidR="001349DE" w:rsidRPr="00AA54B4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eastAsia="Calibri" w:hAnsi="Arial" w:cs="Arial"/>
          <w:bCs/>
          <w:sz w:val="24"/>
          <w:szCs w:val="24"/>
        </w:rPr>
        <w:t xml:space="preserve">Ustawą z dnia 4 kwietnia 2019 r. </w:t>
      </w:r>
      <w:r w:rsidRPr="00EE2EC5">
        <w:rPr>
          <w:rFonts w:ascii="Arial" w:eastAsia="Calibri" w:hAnsi="Arial" w:cs="Arial"/>
          <w:bCs/>
          <w:i/>
          <w:sz w:val="24"/>
          <w:szCs w:val="24"/>
        </w:rPr>
        <w:t xml:space="preserve">o dostępności cyfrowej stron internetowych i aplikacji mobilnych podmiotów publicznych; </w:t>
      </w:r>
    </w:p>
    <w:p w14:paraId="4BC82A4C" w14:textId="77777777" w:rsidR="001349DE" w:rsidRPr="00AA54B4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54B4">
        <w:rPr>
          <w:rFonts w:ascii="Arial" w:eastAsia="Calibri" w:hAnsi="Arial" w:cs="Arial"/>
          <w:bCs/>
          <w:sz w:val="24"/>
          <w:szCs w:val="24"/>
        </w:rPr>
        <w:t xml:space="preserve">Ustawą </w:t>
      </w:r>
      <w:r>
        <w:rPr>
          <w:rFonts w:ascii="Arial" w:eastAsia="Calibri" w:hAnsi="Arial" w:cs="Arial"/>
          <w:bCs/>
          <w:sz w:val="24"/>
          <w:szCs w:val="24"/>
        </w:rPr>
        <w:t xml:space="preserve">z dnia 27 marca 2003 r. </w:t>
      </w:r>
      <w:r w:rsidRPr="00AA54B4">
        <w:rPr>
          <w:rFonts w:ascii="Arial" w:eastAsia="Calibri" w:hAnsi="Arial" w:cs="Arial"/>
          <w:bCs/>
          <w:i/>
          <w:sz w:val="24"/>
          <w:szCs w:val="24"/>
        </w:rPr>
        <w:t>o planowaniu i zagospodarowaniu przestrzennym</w:t>
      </w:r>
      <w:r>
        <w:rPr>
          <w:rFonts w:ascii="Arial" w:eastAsia="Calibri" w:hAnsi="Arial" w:cs="Arial"/>
          <w:bCs/>
          <w:sz w:val="24"/>
          <w:szCs w:val="24"/>
        </w:rPr>
        <w:t>;</w:t>
      </w:r>
    </w:p>
    <w:p w14:paraId="590B8E5C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>Rozporządzeniem Ministra Rozwoju i Technologii z dnia 20</w:t>
      </w:r>
      <w:r>
        <w:rPr>
          <w:rFonts w:ascii="Arial" w:hAnsi="Arial" w:cs="Arial"/>
          <w:sz w:val="24"/>
          <w:szCs w:val="24"/>
        </w:rPr>
        <w:t xml:space="preserve"> </w:t>
      </w:r>
      <w:r w:rsidRPr="00EE2EC5">
        <w:rPr>
          <w:rFonts w:ascii="Arial" w:hAnsi="Arial" w:cs="Arial"/>
          <w:sz w:val="24"/>
          <w:szCs w:val="24"/>
        </w:rPr>
        <w:t xml:space="preserve">grudnia 2021 r. </w:t>
      </w:r>
      <w:r w:rsidRPr="00EE2EC5">
        <w:rPr>
          <w:rFonts w:ascii="Arial" w:hAnsi="Arial" w:cs="Arial"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>
        <w:rPr>
          <w:rFonts w:ascii="Arial" w:hAnsi="Arial" w:cs="Arial"/>
          <w:sz w:val="24"/>
          <w:szCs w:val="24"/>
        </w:rPr>
        <w:t>;</w:t>
      </w:r>
    </w:p>
    <w:p w14:paraId="2B6136B7" w14:textId="77777777" w:rsidR="001349DE" w:rsidRPr="0016295D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z dnia 11 września 2020 r. </w:t>
      </w:r>
      <w:r w:rsidRPr="0016295D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bookmarkStart w:id="6" w:name="_Hlk117586767"/>
      <w:r>
        <w:rPr>
          <w:rFonts w:ascii="Arial" w:hAnsi="Arial" w:cs="Arial"/>
          <w:sz w:val="24"/>
          <w:szCs w:val="24"/>
        </w:rPr>
        <w:t>;</w:t>
      </w:r>
    </w:p>
    <w:bookmarkEnd w:id="6"/>
    <w:p w14:paraId="4B7CD569" w14:textId="77777777" w:rsidR="001349DE" w:rsidRPr="0016295D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lastRenderedPageBreak/>
        <w:t xml:space="preserve">Rozporządzeniem Ministra Rozwoju i Technologii z dnia 20 grudnia 2021  r. 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w sprawie określenia metod i podstaw sporządzania kosztorysu inwestorskiego, obliczania planowanych kosztów prac projektowych oraz planowanych kosztów robót budowlanych określonych w programie funkcjonalno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 użytkowym</w:t>
      </w:r>
      <w:r>
        <w:rPr>
          <w:rFonts w:ascii="Arial" w:hAnsi="Arial" w:cs="Arial"/>
          <w:sz w:val="24"/>
          <w:szCs w:val="24"/>
        </w:rPr>
        <w:t>;</w:t>
      </w:r>
    </w:p>
    <w:p w14:paraId="0F13E933" w14:textId="77777777" w:rsidR="001349DE" w:rsidRPr="00C970BC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970BC">
        <w:rPr>
          <w:rFonts w:ascii="Arial" w:hAnsi="Arial" w:cs="Arial"/>
          <w:sz w:val="24"/>
          <w:szCs w:val="24"/>
        </w:rPr>
        <w:t xml:space="preserve">Rozporządzeniem Ministra Transportu, Budownictwa i Gospodarki Morskiej z dnia 25 kwietnia 2012 r. </w:t>
      </w:r>
      <w:r w:rsidRPr="00C970BC">
        <w:rPr>
          <w:rFonts w:ascii="Arial" w:hAnsi="Arial" w:cs="Arial"/>
          <w:i/>
          <w:iCs/>
          <w:sz w:val="24"/>
          <w:szCs w:val="24"/>
        </w:rPr>
        <w:t>w sprawie ustalenia geotechnicznych warunków posadawiania  obiektów budowlanych</w:t>
      </w:r>
      <w:r w:rsidRPr="00C970BC">
        <w:rPr>
          <w:rFonts w:ascii="Arial" w:hAnsi="Arial" w:cs="Arial"/>
          <w:sz w:val="24"/>
          <w:szCs w:val="24"/>
        </w:rPr>
        <w:t>;</w:t>
      </w:r>
    </w:p>
    <w:p w14:paraId="09E60B05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15D1E">
        <w:rPr>
          <w:rFonts w:ascii="Arial" w:hAnsi="Arial" w:cs="Arial"/>
          <w:sz w:val="24"/>
          <w:szCs w:val="24"/>
        </w:rPr>
        <w:t xml:space="preserve">Rozporządzeniem Ministra Infrastruktury z dnia 24 czerwca 2022 r. </w:t>
      </w:r>
      <w:r w:rsidRPr="00915D1E">
        <w:rPr>
          <w:rFonts w:ascii="Arial" w:hAnsi="Arial" w:cs="Arial"/>
          <w:i/>
          <w:iCs/>
          <w:sz w:val="24"/>
          <w:szCs w:val="24"/>
        </w:rPr>
        <w:t>w sprawie przepisów techniczno-budowlanych dotyczących dróg publicznych</w:t>
      </w:r>
      <w:r>
        <w:rPr>
          <w:rFonts w:ascii="Arial" w:hAnsi="Arial" w:cs="Arial"/>
          <w:sz w:val="24"/>
          <w:szCs w:val="24"/>
        </w:rPr>
        <w:t>;</w:t>
      </w:r>
    </w:p>
    <w:p w14:paraId="594168DA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Ministra Infrastruktury i Budownictwa z dnia 17 listopada 2016 r. </w:t>
      </w:r>
      <w:r w:rsidRPr="00AA54B4">
        <w:rPr>
          <w:rFonts w:ascii="Arial" w:hAnsi="Arial" w:cs="Arial"/>
          <w:i/>
          <w:sz w:val="24"/>
          <w:szCs w:val="24"/>
        </w:rPr>
        <w:t>w sprawie sposobu deklarowania właściwości użytkowych wyrobów budowlanych oraz sposobu znakowania ich znakiem budowlanym</w:t>
      </w:r>
      <w:r>
        <w:rPr>
          <w:rFonts w:ascii="Arial" w:hAnsi="Arial" w:cs="Arial"/>
          <w:sz w:val="24"/>
          <w:szCs w:val="24"/>
        </w:rPr>
        <w:t>;</w:t>
      </w:r>
    </w:p>
    <w:p w14:paraId="3D604937" w14:textId="77777777" w:rsidR="001349DE" w:rsidRPr="00915D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Rady Ministrów z dnia 15 października 2012 r. </w:t>
      </w:r>
      <w:r w:rsidRPr="00AA54B4">
        <w:rPr>
          <w:rFonts w:ascii="Arial" w:hAnsi="Arial" w:cs="Arial"/>
          <w:i/>
          <w:sz w:val="24"/>
          <w:szCs w:val="24"/>
        </w:rPr>
        <w:t>w sprawie państwowego systemu odniesień przestrzennych</w:t>
      </w:r>
      <w:r>
        <w:rPr>
          <w:rFonts w:ascii="Arial" w:hAnsi="Arial" w:cs="Arial"/>
          <w:sz w:val="24"/>
          <w:szCs w:val="24"/>
        </w:rPr>
        <w:t>;</w:t>
      </w:r>
    </w:p>
    <w:p w14:paraId="31E58A8A" w14:textId="77777777" w:rsidR="001349DE" w:rsidRPr="00C75803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5803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C75803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</w:p>
    <w:p w14:paraId="4E009584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 xml:space="preserve">obowiązującymi ustawami, rozporządzeniami, normami projektowania, warunkami technicznymi, </w:t>
      </w:r>
      <w:r w:rsidRPr="00962C88">
        <w:rPr>
          <w:rFonts w:ascii="Arial" w:hAnsi="Arial" w:cs="Arial"/>
          <w:sz w:val="24"/>
          <w:szCs w:val="24"/>
        </w:rPr>
        <w:t>zmianami obowiązujących przepisów lub przepisami, które zostaną wprowadzone w trakcie realizacji przedmiotowego zamówienia</w:t>
      </w:r>
      <w:r>
        <w:rPr>
          <w:rFonts w:ascii="Arial" w:hAnsi="Arial" w:cs="Arial"/>
          <w:sz w:val="24"/>
          <w:szCs w:val="24"/>
        </w:rPr>
        <w:t xml:space="preserve"> a także powszechnie obowiązującymi przepisami dotyczącymi przedmiotu zamówienia.</w:t>
      </w:r>
    </w:p>
    <w:p w14:paraId="0774CA70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86EA3B" w14:textId="77777777" w:rsidR="001349DE" w:rsidRDefault="001349DE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>X</w:t>
      </w: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  <w:t>Załączniki do OPISU PRZEDMIOTU ZAMÓWIENIA</w:t>
      </w:r>
    </w:p>
    <w:p w14:paraId="155C9640" w14:textId="7381BAC1" w:rsidR="001349DE" w:rsidRPr="008C333D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333D">
        <w:rPr>
          <w:rFonts w:ascii="Arial" w:eastAsia="Calibri" w:hAnsi="Arial" w:cs="Arial"/>
          <w:sz w:val="24"/>
          <w:szCs w:val="24"/>
        </w:rPr>
        <w:t xml:space="preserve">Załącznik nr 1 </w:t>
      </w:r>
      <w:r w:rsidR="0021316A" w:rsidRPr="008C333D">
        <w:rPr>
          <w:rFonts w:ascii="Arial" w:eastAsia="Calibri" w:hAnsi="Arial" w:cs="Arial"/>
          <w:sz w:val="24"/>
          <w:szCs w:val="24"/>
        </w:rPr>
        <w:t>do OPZ</w:t>
      </w:r>
      <w:r w:rsidRPr="008C333D">
        <w:rPr>
          <w:rFonts w:ascii="Arial" w:eastAsia="Calibri" w:hAnsi="Arial" w:cs="Arial"/>
          <w:sz w:val="24"/>
          <w:szCs w:val="24"/>
        </w:rPr>
        <w:t xml:space="preserve"> </w:t>
      </w:r>
      <w:r w:rsidR="00A371E2">
        <w:rPr>
          <w:rFonts w:ascii="Arial" w:eastAsia="Calibri" w:hAnsi="Arial" w:cs="Arial"/>
          <w:sz w:val="24"/>
          <w:szCs w:val="24"/>
        </w:rPr>
        <w:t xml:space="preserve">– </w:t>
      </w:r>
      <w:r w:rsidR="00F92649" w:rsidRPr="008C333D">
        <w:rPr>
          <w:rFonts w:ascii="Arial" w:eastAsia="Calibri" w:hAnsi="Arial" w:cs="Arial"/>
          <w:sz w:val="24"/>
          <w:szCs w:val="24"/>
        </w:rPr>
        <w:t>Stan istniejący drogi z płyt JOMB</w:t>
      </w:r>
    </w:p>
    <w:p w14:paraId="4D3A0765" w14:textId="6D2D1654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333D">
        <w:rPr>
          <w:rFonts w:ascii="Arial" w:eastAsia="Calibri" w:hAnsi="Arial" w:cs="Arial"/>
          <w:sz w:val="24"/>
          <w:szCs w:val="24"/>
        </w:rPr>
        <w:t xml:space="preserve">Załącznik nr 2 </w:t>
      </w:r>
      <w:r w:rsidR="0021316A" w:rsidRPr="008C333D">
        <w:rPr>
          <w:rFonts w:ascii="Arial" w:eastAsia="Calibri" w:hAnsi="Arial" w:cs="Arial"/>
          <w:sz w:val="24"/>
          <w:szCs w:val="24"/>
        </w:rPr>
        <w:t>do OPZ</w:t>
      </w:r>
      <w:r w:rsidR="00F92649" w:rsidRPr="008C333D">
        <w:rPr>
          <w:rFonts w:ascii="Arial" w:eastAsia="Calibri" w:hAnsi="Arial" w:cs="Arial"/>
          <w:sz w:val="24"/>
          <w:szCs w:val="24"/>
        </w:rPr>
        <w:t xml:space="preserve"> </w:t>
      </w:r>
      <w:r w:rsidR="00A371E2">
        <w:rPr>
          <w:rFonts w:ascii="Arial" w:eastAsia="Calibri" w:hAnsi="Arial" w:cs="Arial"/>
          <w:sz w:val="24"/>
          <w:szCs w:val="24"/>
        </w:rPr>
        <w:t>–</w:t>
      </w:r>
      <w:r w:rsidRPr="008C333D">
        <w:rPr>
          <w:rFonts w:ascii="Arial" w:eastAsia="Calibri" w:hAnsi="Arial" w:cs="Arial"/>
          <w:sz w:val="24"/>
          <w:szCs w:val="24"/>
        </w:rPr>
        <w:t xml:space="preserve"> </w:t>
      </w:r>
      <w:r w:rsidR="00F92649" w:rsidRPr="008C333D">
        <w:rPr>
          <w:rFonts w:ascii="Arial" w:eastAsia="Calibri" w:hAnsi="Arial" w:cs="Arial"/>
          <w:sz w:val="24"/>
          <w:szCs w:val="24"/>
        </w:rPr>
        <w:t xml:space="preserve">Stan istniejący </w:t>
      </w:r>
      <w:r w:rsidR="008C333D">
        <w:rPr>
          <w:rFonts w:ascii="Arial" w:eastAsia="Calibri" w:hAnsi="Arial" w:cs="Arial"/>
          <w:sz w:val="24"/>
          <w:szCs w:val="24"/>
        </w:rPr>
        <w:t>drogi dla rowerów</w:t>
      </w:r>
      <w:r w:rsidR="00F92649" w:rsidRPr="008C333D">
        <w:rPr>
          <w:rFonts w:ascii="Arial" w:eastAsia="Calibri" w:hAnsi="Arial" w:cs="Arial"/>
          <w:sz w:val="24"/>
          <w:szCs w:val="24"/>
        </w:rPr>
        <w:t xml:space="preserve"> </w:t>
      </w:r>
      <w:r w:rsidR="008C333D">
        <w:rPr>
          <w:rFonts w:ascii="Arial" w:eastAsia="Calibri" w:hAnsi="Arial" w:cs="Arial"/>
          <w:sz w:val="24"/>
          <w:szCs w:val="24"/>
        </w:rPr>
        <w:t>o</w:t>
      </w:r>
      <w:r w:rsidR="00F92649" w:rsidRPr="008C333D">
        <w:rPr>
          <w:rFonts w:ascii="Arial" w:eastAsia="Calibri" w:hAnsi="Arial" w:cs="Arial"/>
          <w:sz w:val="24"/>
          <w:szCs w:val="24"/>
        </w:rPr>
        <w:t xml:space="preserve"> nawierzchni bitumicznej</w:t>
      </w:r>
    </w:p>
    <w:p w14:paraId="36EE34CA" w14:textId="29CC9A7E" w:rsidR="002C7E12" w:rsidRDefault="002C7E12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3 do OPZ </w:t>
      </w:r>
      <w:r w:rsidR="00A371E2">
        <w:rPr>
          <w:rFonts w:ascii="Arial" w:eastAsia="Calibri" w:hAnsi="Arial" w:cs="Arial"/>
          <w:sz w:val="24"/>
          <w:szCs w:val="24"/>
        </w:rPr>
        <w:t>–</w:t>
      </w:r>
      <w:r w:rsidR="00AB6CF2">
        <w:rPr>
          <w:rFonts w:ascii="Arial" w:eastAsia="Calibri" w:hAnsi="Arial" w:cs="Arial"/>
          <w:sz w:val="24"/>
          <w:szCs w:val="24"/>
        </w:rPr>
        <w:t xml:space="preserve"> Lokalizacja zamówienia</w:t>
      </w:r>
    </w:p>
    <w:p w14:paraId="43AC891D" w14:textId="1C3F8B18" w:rsidR="002C7E12" w:rsidRDefault="002C7E12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4 do OPZ</w:t>
      </w:r>
      <w:r w:rsidR="00763841">
        <w:rPr>
          <w:rFonts w:ascii="Arial" w:eastAsia="Calibri" w:hAnsi="Arial" w:cs="Arial"/>
          <w:sz w:val="24"/>
          <w:szCs w:val="24"/>
        </w:rPr>
        <w:t xml:space="preserve"> – Warunki techniczne wydane przez </w:t>
      </w:r>
      <w:r w:rsidR="00A371E2">
        <w:rPr>
          <w:rFonts w:ascii="Arial" w:eastAsia="Calibri" w:hAnsi="Arial" w:cs="Arial"/>
          <w:sz w:val="24"/>
          <w:szCs w:val="24"/>
        </w:rPr>
        <w:t>Spółkę</w:t>
      </w:r>
      <w:r w:rsidR="00763841">
        <w:rPr>
          <w:rFonts w:ascii="Arial" w:eastAsia="Calibri" w:hAnsi="Arial" w:cs="Arial"/>
          <w:sz w:val="24"/>
          <w:szCs w:val="24"/>
        </w:rPr>
        <w:t xml:space="preserve"> Komunalną </w:t>
      </w:r>
      <w:r w:rsidR="00A371E2">
        <w:rPr>
          <w:rFonts w:ascii="Arial" w:eastAsia="Calibri" w:hAnsi="Arial" w:cs="Arial"/>
          <w:sz w:val="24"/>
          <w:szCs w:val="24"/>
        </w:rPr>
        <w:t>Żukowo Sp. z o.o.</w:t>
      </w:r>
    </w:p>
    <w:p w14:paraId="7C6953F8" w14:textId="0FC29BC6" w:rsidR="002C7E12" w:rsidRPr="008C333D" w:rsidRDefault="002C7E12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5 do OPZ</w:t>
      </w:r>
      <w:r w:rsidR="00A371E2">
        <w:rPr>
          <w:rFonts w:ascii="Arial" w:eastAsia="Calibri" w:hAnsi="Arial" w:cs="Arial"/>
          <w:sz w:val="24"/>
          <w:szCs w:val="24"/>
        </w:rPr>
        <w:t xml:space="preserve"> – Warunki techniczne wydane przez Referat Komunalny i Infrastruktury Drogowej </w:t>
      </w:r>
    </w:p>
    <w:p w14:paraId="4EE105E1" w14:textId="79E11A14" w:rsidR="00C370A0" w:rsidRDefault="00763841" w:rsidP="001349DE">
      <w:pPr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763841">
        <w:rPr>
          <w:rFonts w:ascii="Arial" w:hAnsi="Arial" w:cs="Arial"/>
          <w:sz w:val="24"/>
          <w:szCs w:val="24"/>
        </w:rPr>
        <w:t>Załącznik nr 6 do OPZ</w:t>
      </w:r>
      <w:r w:rsidR="00A371E2">
        <w:rPr>
          <w:rFonts w:ascii="Arial" w:hAnsi="Arial" w:cs="Arial"/>
          <w:sz w:val="24"/>
          <w:szCs w:val="24"/>
        </w:rPr>
        <w:t xml:space="preserve"> – Warunki techniczne wydane przez PKP PLK S.A. </w:t>
      </w:r>
    </w:p>
    <w:p w14:paraId="668CD482" w14:textId="37DEB526" w:rsidR="00763841" w:rsidRPr="00763841" w:rsidRDefault="00763841" w:rsidP="001349DE">
      <w:pPr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</w:p>
    <w:sectPr w:rsidR="00763841" w:rsidRPr="00763841" w:rsidSect="00280E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A248" w14:textId="77777777" w:rsidR="000107F0" w:rsidRDefault="000107F0" w:rsidP="00823A6E">
      <w:pPr>
        <w:spacing w:after="0" w:line="240" w:lineRule="auto"/>
      </w:pPr>
      <w:r>
        <w:separator/>
      </w:r>
    </w:p>
  </w:endnote>
  <w:endnote w:type="continuationSeparator" w:id="0">
    <w:p w14:paraId="6B38AA53" w14:textId="77777777" w:rsidR="000107F0" w:rsidRDefault="000107F0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2CA5B023" w14:textId="77777777" w:rsidR="00B7014D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C8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B62E988" w14:textId="77777777" w:rsidR="00B7014D" w:rsidRDefault="00B70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30EC" w14:textId="77777777" w:rsidR="000107F0" w:rsidRDefault="000107F0" w:rsidP="00823A6E">
      <w:pPr>
        <w:spacing w:after="0" w:line="240" w:lineRule="auto"/>
      </w:pPr>
      <w:r>
        <w:separator/>
      </w:r>
    </w:p>
  </w:footnote>
  <w:footnote w:type="continuationSeparator" w:id="0">
    <w:p w14:paraId="62A17BAF" w14:textId="77777777" w:rsidR="000107F0" w:rsidRDefault="000107F0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3CE6" w14:textId="40F97195" w:rsidR="00B7014D" w:rsidRDefault="00B7014D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7" w:name="_Hlk64489316"/>
    <w:r>
      <w:rPr>
        <w:b/>
        <w:bCs/>
        <w:i/>
        <w:iCs/>
        <w:sz w:val="20"/>
        <w:szCs w:val="20"/>
      </w:rPr>
      <w:t>Postępowanie  nr  ZP.271.</w:t>
    </w:r>
    <w:r w:rsidR="00902F64">
      <w:rPr>
        <w:b/>
        <w:bCs/>
        <w:i/>
        <w:iCs/>
        <w:sz w:val="20"/>
        <w:szCs w:val="20"/>
      </w:rPr>
      <w:t>9</w:t>
    </w:r>
    <w:r>
      <w:rPr>
        <w:b/>
        <w:bCs/>
        <w:i/>
        <w:iCs/>
        <w:sz w:val="20"/>
        <w:szCs w:val="20"/>
      </w:rPr>
      <w:t>.202</w:t>
    </w:r>
    <w:bookmarkEnd w:id="7"/>
    <w:r w:rsidR="00902F64">
      <w:rPr>
        <w:b/>
        <w:bCs/>
        <w:i/>
        <w:iCs/>
        <w:sz w:val="20"/>
        <w:szCs w:val="20"/>
      </w:rPr>
      <w:t>3</w:t>
    </w:r>
  </w:p>
  <w:p w14:paraId="5271500B" w14:textId="77777777" w:rsidR="00B7014D" w:rsidRDefault="00B70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11EC7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1F53AB3"/>
    <w:multiLevelType w:val="hybridMultilevel"/>
    <w:tmpl w:val="D5F6CE22"/>
    <w:lvl w:ilvl="0" w:tplc="146E1B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762A7"/>
    <w:multiLevelType w:val="hybridMultilevel"/>
    <w:tmpl w:val="F1DAC312"/>
    <w:lvl w:ilvl="0" w:tplc="C9BA7EE8">
      <w:start w:val="1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325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DF52B98"/>
    <w:multiLevelType w:val="hybridMultilevel"/>
    <w:tmpl w:val="316C4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1DB7"/>
    <w:multiLevelType w:val="hybridMultilevel"/>
    <w:tmpl w:val="9A04F45C"/>
    <w:lvl w:ilvl="0" w:tplc="5BCAB52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973895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012332C"/>
    <w:multiLevelType w:val="hybridMultilevel"/>
    <w:tmpl w:val="C4B27D64"/>
    <w:lvl w:ilvl="0" w:tplc="C8BA2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B2D37"/>
    <w:multiLevelType w:val="hybridMultilevel"/>
    <w:tmpl w:val="0560A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B60841"/>
    <w:multiLevelType w:val="hybridMultilevel"/>
    <w:tmpl w:val="C2EC708A"/>
    <w:lvl w:ilvl="0" w:tplc="0415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3501D"/>
    <w:multiLevelType w:val="hybridMultilevel"/>
    <w:tmpl w:val="3D10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94742"/>
    <w:multiLevelType w:val="hybridMultilevel"/>
    <w:tmpl w:val="9FAC1C58"/>
    <w:lvl w:ilvl="0" w:tplc="BD3892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BF0C32"/>
    <w:multiLevelType w:val="hybridMultilevel"/>
    <w:tmpl w:val="FA6CB724"/>
    <w:lvl w:ilvl="0" w:tplc="B2109A9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71CAA"/>
    <w:multiLevelType w:val="hybridMultilevel"/>
    <w:tmpl w:val="A7A88BEC"/>
    <w:lvl w:ilvl="0" w:tplc="7F2C3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86071"/>
    <w:multiLevelType w:val="hybridMultilevel"/>
    <w:tmpl w:val="F140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24E81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FC35398"/>
    <w:multiLevelType w:val="hybridMultilevel"/>
    <w:tmpl w:val="7034F922"/>
    <w:lvl w:ilvl="0" w:tplc="348640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E4296"/>
    <w:multiLevelType w:val="hybridMultilevel"/>
    <w:tmpl w:val="7846A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A2030"/>
    <w:multiLevelType w:val="hybridMultilevel"/>
    <w:tmpl w:val="101A00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D5503"/>
    <w:multiLevelType w:val="hybridMultilevel"/>
    <w:tmpl w:val="0AF0FDF8"/>
    <w:lvl w:ilvl="0" w:tplc="9ABEEA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E6476"/>
    <w:multiLevelType w:val="hybridMultilevel"/>
    <w:tmpl w:val="DF52DDB0"/>
    <w:lvl w:ilvl="0" w:tplc="0B96DF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53E91"/>
    <w:multiLevelType w:val="hybridMultilevel"/>
    <w:tmpl w:val="E934ED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112CA"/>
    <w:multiLevelType w:val="hybridMultilevel"/>
    <w:tmpl w:val="6D641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C385D"/>
    <w:multiLevelType w:val="hybridMultilevel"/>
    <w:tmpl w:val="4ED2608E"/>
    <w:lvl w:ilvl="0" w:tplc="ABB49E5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F5716B"/>
    <w:multiLevelType w:val="hybridMultilevel"/>
    <w:tmpl w:val="A7281D7A"/>
    <w:lvl w:ilvl="0" w:tplc="11D8C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2B08C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47AB3"/>
    <w:multiLevelType w:val="hybridMultilevel"/>
    <w:tmpl w:val="83D0611A"/>
    <w:lvl w:ilvl="0" w:tplc="8AA8B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9811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FC692FA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4BB01B08">
      <w:start w:val="5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E744F2A"/>
    <w:multiLevelType w:val="hybridMultilevel"/>
    <w:tmpl w:val="0AF0FDF8"/>
    <w:lvl w:ilvl="0" w:tplc="9ABEEA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71CA8"/>
    <w:multiLevelType w:val="hybridMultilevel"/>
    <w:tmpl w:val="258E0496"/>
    <w:lvl w:ilvl="0" w:tplc="5168905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9431C"/>
    <w:multiLevelType w:val="hybridMultilevel"/>
    <w:tmpl w:val="3A1465E6"/>
    <w:lvl w:ilvl="0" w:tplc="A93838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F15B1"/>
    <w:multiLevelType w:val="hybridMultilevel"/>
    <w:tmpl w:val="5ACA5332"/>
    <w:lvl w:ilvl="0" w:tplc="8136856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E5E5CE9"/>
    <w:multiLevelType w:val="hybridMultilevel"/>
    <w:tmpl w:val="0976497A"/>
    <w:lvl w:ilvl="0" w:tplc="324026F0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A054D9"/>
    <w:multiLevelType w:val="hybridMultilevel"/>
    <w:tmpl w:val="77E027D4"/>
    <w:lvl w:ilvl="0" w:tplc="5EEAA4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03EB5"/>
    <w:multiLevelType w:val="hybridMultilevel"/>
    <w:tmpl w:val="117AECAC"/>
    <w:lvl w:ilvl="0" w:tplc="14A08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A037C"/>
    <w:multiLevelType w:val="hybridMultilevel"/>
    <w:tmpl w:val="9E48BA4A"/>
    <w:lvl w:ilvl="0" w:tplc="5B3CA3F0">
      <w:start w:val="22"/>
      <w:numFmt w:val="decimal"/>
      <w:lvlText w:val="%1."/>
      <w:lvlJc w:val="left"/>
      <w:pPr>
        <w:ind w:left="23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76600DF1"/>
    <w:multiLevelType w:val="hybridMultilevel"/>
    <w:tmpl w:val="BC242146"/>
    <w:lvl w:ilvl="0" w:tplc="A2CE51DE">
      <w:start w:val="1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E32461A4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774C6D13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7C5C2D2C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873958756">
    <w:abstractNumId w:val="38"/>
  </w:num>
  <w:num w:numId="2" w16cid:durableId="174539855">
    <w:abstractNumId w:val="16"/>
  </w:num>
  <w:num w:numId="3" w16cid:durableId="1002246435">
    <w:abstractNumId w:val="14"/>
  </w:num>
  <w:num w:numId="4" w16cid:durableId="1704865405">
    <w:abstractNumId w:val="34"/>
  </w:num>
  <w:num w:numId="5" w16cid:durableId="2098167146">
    <w:abstractNumId w:val="6"/>
  </w:num>
  <w:num w:numId="6" w16cid:durableId="1860587540">
    <w:abstractNumId w:val="13"/>
  </w:num>
  <w:num w:numId="7" w16cid:durableId="460342276">
    <w:abstractNumId w:val="0"/>
  </w:num>
  <w:num w:numId="8" w16cid:durableId="242616668">
    <w:abstractNumId w:val="32"/>
  </w:num>
  <w:num w:numId="9" w16cid:durableId="170419236">
    <w:abstractNumId w:val="17"/>
  </w:num>
  <w:num w:numId="10" w16cid:durableId="26952796">
    <w:abstractNumId w:val="9"/>
  </w:num>
  <w:num w:numId="11" w16cid:durableId="547498826">
    <w:abstractNumId w:val="39"/>
  </w:num>
  <w:num w:numId="12" w16cid:durableId="1250192070">
    <w:abstractNumId w:val="4"/>
  </w:num>
  <w:num w:numId="13" w16cid:durableId="1233001979">
    <w:abstractNumId w:val="18"/>
  </w:num>
  <w:num w:numId="14" w16cid:durableId="345718429">
    <w:abstractNumId w:val="41"/>
  </w:num>
  <w:num w:numId="15" w16cid:durableId="539166952">
    <w:abstractNumId w:val="21"/>
  </w:num>
  <w:num w:numId="16" w16cid:durableId="2051146112">
    <w:abstractNumId w:val="28"/>
  </w:num>
  <w:num w:numId="17" w16cid:durableId="238559877">
    <w:abstractNumId w:val="30"/>
  </w:num>
  <w:num w:numId="18" w16cid:durableId="661003492">
    <w:abstractNumId w:val="43"/>
  </w:num>
  <w:num w:numId="19" w16cid:durableId="1654604927">
    <w:abstractNumId w:val="8"/>
  </w:num>
  <w:num w:numId="20" w16cid:durableId="1564097071">
    <w:abstractNumId w:val="5"/>
  </w:num>
  <w:num w:numId="21" w16cid:durableId="445200787">
    <w:abstractNumId w:val="42"/>
  </w:num>
  <w:num w:numId="22" w16cid:durableId="862980041">
    <w:abstractNumId w:val="2"/>
  </w:num>
  <w:num w:numId="23" w16cid:durableId="2038120168">
    <w:abstractNumId w:val="19"/>
  </w:num>
  <w:num w:numId="24" w16cid:durableId="20593593">
    <w:abstractNumId w:val="10"/>
  </w:num>
  <w:num w:numId="25" w16cid:durableId="396049651">
    <w:abstractNumId w:val="23"/>
  </w:num>
  <w:num w:numId="26" w16cid:durableId="735278800">
    <w:abstractNumId w:val="31"/>
  </w:num>
  <w:num w:numId="27" w16cid:durableId="1385715764">
    <w:abstractNumId w:val="3"/>
  </w:num>
  <w:num w:numId="28" w16cid:durableId="1608999980">
    <w:abstractNumId w:val="15"/>
  </w:num>
  <w:num w:numId="29" w16cid:durableId="15042768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9540218">
    <w:abstractNumId w:val="7"/>
  </w:num>
  <w:num w:numId="31" w16cid:durableId="1803575408">
    <w:abstractNumId w:val="35"/>
  </w:num>
  <w:num w:numId="32" w16cid:durableId="2070687600">
    <w:abstractNumId w:val="22"/>
  </w:num>
  <w:num w:numId="33" w16cid:durableId="19584436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6095192">
    <w:abstractNumId w:val="27"/>
  </w:num>
  <w:num w:numId="35" w16cid:durableId="1967197891">
    <w:abstractNumId w:val="37"/>
  </w:num>
  <w:num w:numId="36" w16cid:durableId="509419511">
    <w:abstractNumId w:val="24"/>
  </w:num>
  <w:num w:numId="37" w16cid:durableId="1455832000">
    <w:abstractNumId w:val="33"/>
  </w:num>
  <w:num w:numId="38" w16cid:durableId="522551231">
    <w:abstractNumId w:val="1"/>
  </w:num>
  <w:num w:numId="39" w16cid:durableId="1878739528">
    <w:abstractNumId w:val="11"/>
  </w:num>
  <w:num w:numId="40" w16cid:durableId="1913277155">
    <w:abstractNumId w:val="26"/>
  </w:num>
  <w:num w:numId="41" w16cid:durableId="56826419">
    <w:abstractNumId w:val="40"/>
  </w:num>
  <w:num w:numId="42" w16cid:durableId="1485244955">
    <w:abstractNumId w:val="25"/>
  </w:num>
  <w:num w:numId="43" w16cid:durableId="782847522">
    <w:abstractNumId w:val="36"/>
  </w:num>
  <w:num w:numId="44" w16cid:durableId="1383018831">
    <w:abstractNumId w:val="20"/>
  </w:num>
  <w:num w:numId="45" w16cid:durableId="126359232">
    <w:abstractNumId w:val="29"/>
  </w:num>
  <w:num w:numId="46" w16cid:durableId="1556516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107F0"/>
    <w:rsid w:val="000267C6"/>
    <w:rsid w:val="000434F6"/>
    <w:rsid w:val="00043928"/>
    <w:rsid w:val="00043C2C"/>
    <w:rsid w:val="00065059"/>
    <w:rsid w:val="0008354B"/>
    <w:rsid w:val="000973B3"/>
    <w:rsid w:val="000C2726"/>
    <w:rsid w:val="000C5C35"/>
    <w:rsid w:val="000C6CB0"/>
    <w:rsid w:val="000D0212"/>
    <w:rsid w:val="000D7E68"/>
    <w:rsid w:val="000F3B69"/>
    <w:rsid w:val="00105F27"/>
    <w:rsid w:val="00115F58"/>
    <w:rsid w:val="00116F4F"/>
    <w:rsid w:val="0012254C"/>
    <w:rsid w:val="001349DE"/>
    <w:rsid w:val="00147FDB"/>
    <w:rsid w:val="00156A16"/>
    <w:rsid w:val="0016295D"/>
    <w:rsid w:val="0016799F"/>
    <w:rsid w:val="001712E6"/>
    <w:rsid w:val="00172DBF"/>
    <w:rsid w:val="00175E5F"/>
    <w:rsid w:val="0018685A"/>
    <w:rsid w:val="0019012B"/>
    <w:rsid w:val="00193018"/>
    <w:rsid w:val="001935B3"/>
    <w:rsid w:val="00197AF0"/>
    <w:rsid w:val="001B20F9"/>
    <w:rsid w:val="001B4332"/>
    <w:rsid w:val="001B6E19"/>
    <w:rsid w:val="001C3983"/>
    <w:rsid w:val="001D7D79"/>
    <w:rsid w:val="001E111F"/>
    <w:rsid w:val="002044FC"/>
    <w:rsid w:val="00210795"/>
    <w:rsid w:val="002114B9"/>
    <w:rsid w:val="0021316A"/>
    <w:rsid w:val="00214F78"/>
    <w:rsid w:val="0023466E"/>
    <w:rsid w:val="002414A0"/>
    <w:rsid w:val="0024196F"/>
    <w:rsid w:val="002554D9"/>
    <w:rsid w:val="0025638E"/>
    <w:rsid w:val="00263BE3"/>
    <w:rsid w:val="00276B3F"/>
    <w:rsid w:val="00280E2E"/>
    <w:rsid w:val="00280EF6"/>
    <w:rsid w:val="00283F3B"/>
    <w:rsid w:val="002869D2"/>
    <w:rsid w:val="002A1E01"/>
    <w:rsid w:val="002B10A5"/>
    <w:rsid w:val="002B180C"/>
    <w:rsid w:val="002B22C0"/>
    <w:rsid w:val="002B691C"/>
    <w:rsid w:val="002C7E12"/>
    <w:rsid w:val="002D462E"/>
    <w:rsid w:val="002D5190"/>
    <w:rsid w:val="002D6949"/>
    <w:rsid w:val="002F3433"/>
    <w:rsid w:val="0031274B"/>
    <w:rsid w:val="003268BB"/>
    <w:rsid w:val="00327CE8"/>
    <w:rsid w:val="00345B78"/>
    <w:rsid w:val="003525A1"/>
    <w:rsid w:val="00373112"/>
    <w:rsid w:val="00373EB6"/>
    <w:rsid w:val="00393396"/>
    <w:rsid w:val="00397FA5"/>
    <w:rsid w:val="003A0EF2"/>
    <w:rsid w:val="003A18DD"/>
    <w:rsid w:val="003B0CAC"/>
    <w:rsid w:val="003B576E"/>
    <w:rsid w:val="003D2B58"/>
    <w:rsid w:val="003E071A"/>
    <w:rsid w:val="003E66C0"/>
    <w:rsid w:val="003F65A6"/>
    <w:rsid w:val="003F66E5"/>
    <w:rsid w:val="0043210B"/>
    <w:rsid w:val="004335CB"/>
    <w:rsid w:val="00434281"/>
    <w:rsid w:val="00442FE2"/>
    <w:rsid w:val="0045527D"/>
    <w:rsid w:val="004571F7"/>
    <w:rsid w:val="004653A4"/>
    <w:rsid w:val="00477317"/>
    <w:rsid w:val="00497362"/>
    <w:rsid w:val="004B4004"/>
    <w:rsid w:val="004D15C7"/>
    <w:rsid w:val="004D6DD1"/>
    <w:rsid w:val="004E5540"/>
    <w:rsid w:val="004F3562"/>
    <w:rsid w:val="005045F8"/>
    <w:rsid w:val="00526621"/>
    <w:rsid w:val="00533D3A"/>
    <w:rsid w:val="00542B4D"/>
    <w:rsid w:val="005456BB"/>
    <w:rsid w:val="0055338D"/>
    <w:rsid w:val="00567CA1"/>
    <w:rsid w:val="00577B6F"/>
    <w:rsid w:val="00580546"/>
    <w:rsid w:val="00582CF1"/>
    <w:rsid w:val="00585349"/>
    <w:rsid w:val="005E2987"/>
    <w:rsid w:val="005E6815"/>
    <w:rsid w:val="005F1F15"/>
    <w:rsid w:val="0060718A"/>
    <w:rsid w:val="00614D87"/>
    <w:rsid w:val="00647D3F"/>
    <w:rsid w:val="00651C3E"/>
    <w:rsid w:val="00654378"/>
    <w:rsid w:val="00657188"/>
    <w:rsid w:val="006C2F9C"/>
    <w:rsid w:val="006E088D"/>
    <w:rsid w:val="00715D49"/>
    <w:rsid w:val="007212A1"/>
    <w:rsid w:val="0075577B"/>
    <w:rsid w:val="00763841"/>
    <w:rsid w:val="00766C33"/>
    <w:rsid w:val="00767CD0"/>
    <w:rsid w:val="00767D86"/>
    <w:rsid w:val="007819A9"/>
    <w:rsid w:val="007B022E"/>
    <w:rsid w:val="007B32C8"/>
    <w:rsid w:val="00805CE3"/>
    <w:rsid w:val="00806D42"/>
    <w:rsid w:val="008127CF"/>
    <w:rsid w:val="00823A6E"/>
    <w:rsid w:val="008241A0"/>
    <w:rsid w:val="00845627"/>
    <w:rsid w:val="00845E96"/>
    <w:rsid w:val="00861E96"/>
    <w:rsid w:val="00870D7C"/>
    <w:rsid w:val="00875261"/>
    <w:rsid w:val="00890C3E"/>
    <w:rsid w:val="00890EFB"/>
    <w:rsid w:val="008912F4"/>
    <w:rsid w:val="00896B6E"/>
    <w:rsid w:val="008C333D"/>
    <w:rsid w:val="008D2FD9"/>
    <w:rsid w:val="008D6C16"/>
    <w:rsid w:val="008F55B5"/>
    <w:rsid w:val="00902F64"/>
    <w:rsid w:val="009129A6"/>
    <w:rsid w:val="00915D1E"/>
    <w:rsid w:val="009162F0"/>
    <w:rsid w:val="0093619C"/>
    <w:rsid w:val="00962C88"/>
    <w:rsid w:val="0098225C"/>
    <w:rsid w:val="00984E6A"/>
    <w:rsid w:val="00986614"/>
    <w:rsid w:val="009906AA"/>
    <w:rsid w:val="009927B8"/>
    <w:rsid w:val="00994EEC"/>
    <w:rsid w:val="009A5AB1"/>
    <w:rsid w:val="009D14BA"/>
    <w:rsid w:val="009D2C4E"/>
    <w:rsid w:val="009D4C1B"/>
    <w:rsid w:val="009D6702"/>
    <w:rsid w:val="009E1F13"/>
    <w:rsid w:val="009E2C86"/>
    <w:rsid w:val="009F7D19"/>
    <w:rsid w:val="00A01581"/>
    <w:rsid w:val="00A03E82"/>
    <w:rsid w:val="00A12204"/>
    <w:rsid w:val="00A35ED8"/>
    <w:rsid w:val="00A371E2"/>
    <w:rsid w:val="00A53A72"/>
    <w:rsid w:val="00A56740"/>
    <w:rsid w:val="00A5730E"/>
    <w:rsid w:val="00A74135"/>
    <w:rsid w:val="00A75699"/>
    <w:rsid w:val="00A766FD"/>
    <w:rsid w:val="00A77D1F"/>
    <w:rsid w:val="00A90A9F"/>
    <w:rsid w:val="00AB4501"/>
    <w:rsid w:val="00AB66D4"/>
    <w:rsid w:val="00AB6CF2"/>
    <w:rsid w:val="00AB7552"/>
    <w:rsid w:val="00AD6A7F"/>
    <w:rsid w:val="00AE627F"/>
    <w:rsid w:val="00AF7540"/>
    <w:rsid w:val="00B037AB"/>
    <w:rsid w:val="00B04A23"/>
    <w:rsid w:val="00B06B47"/>
    <w:rsid w:val="00B3095C"/>
    <w:rsid w:val="00B368EB"/>
    <w:rsid w:val="00B44CA6"/>
    <w:rsid w:val="00B475D2"/>
    <w:rsid w:val="00B64164"/>
    <w:rsid w:val="00B7014D"/>
    <w:rsid w:val="00B72480"/>
    <w:rsid w:val="00B950C9"/>
    <w:rsid w:val="00BA4586"/>
    <w:rsid w:val="00BA71C2"/>
    <w:rsid w:val="00BB4917"/>
    <w:rsid w:val="00BB752A"/>
    <w:rsid w:val="00BD68B1"/>
    <w:rsid w:val="00BF0E66"/>
    <w:rsid w:val="00C0084C"/>
    <w:rsid w:val="00C2021A"/>
    <w:rsid w:val="00C24ED0"/>
    <w:rsid w:val="00C2704A"/>
    <w:rsid w:val="00C370A0"/>
    <w:rsid w:val="00C46566"/>
    <w:rsid w:val="00C63266"/>
    <w:rsid w:val="00C63674"/>
    <w:rsid w:val="00C75803"/>
    <w:rsid w:val="00C821C7"/>
    <w:rsid w:val="00C856DD"/>
    <w:rsid w:val="00CA2500"/>
    <w:rsid w:val="00CA3956"/>
    <w:rsid w:val="00CD0180"/>
    <w:rsid w:val="00CD0A03"/>
    <w:rsid w:val="00CD34C1"/>
    <w:rsid w:val="00CE6D83"/>
    <w:rsid w:val="00CF172A"/>
    <w:rsid w:val="00CF380C"/>
    <w:rsid w:val="00CF3EB3"/>
    <w:rsid w:val="00D03A25"/>
    <w:rsid w:val="00D058CD"/>
    <w:rsid w:val="00D132DF"/>
    <w:rsid w:val="00D31603"/>
    <w:rsid w:val="00D42791"/>
    <w:rsid w:val="00D44CA9"/>
    <w:rsid w:val="00D47737"/>
    <w:rsid w:val="00D5201E"/>
    <w:rsid w:val="00D55B4D"/>
    <w:rsid w:val="00D6526C"/>
    <w:rsid w:val="00D74EA8"/>
    <w:rsid w:val="00D95C70"/>
    <w:rsid w:val="00DA0DC2"/>
    <w:rsid w:val="00DB3C62"/>
    <w:rsid w:val="00DB7A76"/>
    <w:rsid w:val="00DC289A"/>
    <w:rsid w:val="00DC4393"/>
    <w:rsid w:val="00DE1934"/>
    <w:rsid w:val="00DF2772"/>
    <w:rsid w:val="00DF364D"/>
    <w:rsid w:val="00E0308D"/>
    <w:rsid w:val="00E30F7E"/>
    <w:rsid w:val="00E312D0"/>
    <w:rsid w:val="00E33E7F"/>
    <w:rsid w:val="00E35CBF"/>
    <w:rsid w:val="00E37BFE"/>
    <w:rsid w:val="00E40348"/>
    <w:rsid w:val="00E450FA"/>
    <w:rsid w:val="00E4587F"/>
    <w:rsid w:val="00E471AB"/>
    <w:rsid w:val="00E50091"/>
    <w:rsid w:val="00E5517C"/>
    <w:rsid w:val="00E555D5"/>
    <w:rsid w:val="00E85485"/>
    <w:rsid w:val="00E85B0A"/>
    <w:rsid w:val="00E94CD1"/>
    <w:rsid w:val="00E95F2F"/>
    <w:rsid w:val="00E97554"/>
    <w:rsid w:val="00EA4552"/>
    <w:rsid w:val="00EB448D"/>
    <w:rsid w:val="00EC1685"/>
    <w:rsid w:val="00ED03A5"/>
    <w:rsid w:val="00EE58D0"/>
    <w:rsid w:val="00EF5709"/>
    <w:rsid w:val="00F02D3B"/>
    <w:rsid w:val="00F073C2"/>
    <w:rsid w:val="00F16F93"/>
    <w:rsid w:val="00F7265F"/>
    <w:rsid w:val="00F83367"/>
    <w:rsid w:val="00F8741F"/>
    <w:rsid w:val="00F92649"/>
    <w:rsid w:val="00FB7613"/>
    <w:rsid w:val="00FE46EE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21DE"/>
  <w15:docId w15:val="{F03FA300-534D-4962-A5B5-7DA62866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ukowo.e-mapa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11</Pages>
  <Words>4365</Words>
  <Characters>26190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114</cp:revision>
  <dcterms:created xsi:type="dcterms:W3CDTF">2021-03-19T12:49:00Z</dcterms:created>
  <dcterms:modified xsi:type="dcterms:W3CDTF">2023-06-28T08:03:00Z</dcterms:modified>
</cp:coreProperties>
</file>