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EA" w:rsidRDefault="00C013EA" w:rsidP="00C013EA">
      <w:pPr>
        <w:pStyle w:val="Nagwek1"/>
        <w:numPr>
          <w:ilvl w:val="0"/>
          <w:numId w:val="0"/>
        </w:numPr>
        <w:jc w:val="left"/>
      </w:pPr>
      <w:bookmarkStart w:id="0" w:name="_Ref109977228"/>
      <w:r>
        <w:t>Załącznik nr 4</w:t>
      </w:r>
      <w:r w:rsidR="0069455F">
        <w:t xml:space="preserve"> do Umowy nr Ru…/23/TI z dnia…</w:t>
      </w:r>
      <w:bookmarkStart w:id="1" w:name="_GoBack"/>
      <w:bookmarkEnd w:id="1"/>
      <w:r w:rsidR="0069455F" w:rsidRPr="0069455F">
        <w:t xml:space="preserve"> </w:t>
      </w:r>
      <w:r>
        <w:t xml:space="preserve"> - Zasady rozpatrywania i obiegu reklamacji pomiędzy Stronami  </w:t>
      </w:r>
    </w:p>
    <w:p w:rsidR="00C013EA" w:rsidRDefault="00C013EA" w:rsidP="00C013EA">
      <w:pPr>
        <w:pStyle w:val="Nagwek1"/>
      </w:pPr>
      <w:r>
        <w:t>Definicje</w:t>
      </w:r>
    </w:p>
    <w:p w:rsidR="00C013EA" w:rsidRDefault="00C013EA" w:rsidP="00C013EA">
      <w:pPr>
        <w:pStyle w:val="ListaPrvH1"/>
      </w:pPr>
      <w:r>
        <w:t>Centrum Obsługi Reklamacji (COR) – komórka organizacyjna Wykonawcy odpowiedzialna za rozpatrywanie zgłoszonych reklamacji</w:t>
      </w:r>
    </w:p>
    <w:p w:rsidR="00C013EA" w:rsidRDefault="00C013EA" w:rsidP="00C013EA">
      <w:pPr>
        <w:pStyle w:val="ListaPrvH1"/>
      </w:pPr>
      <w:r>
        <w:t>Punkt Obsługi Reklamacji (POR) - komórka organizacyjna Zamawiajacego odpowiedzialna za prowadzenie postępowania reklamacyjnego</w:t>
      </w:r>
    </w:p>
    <w:p w:rsidR="00C013EA" w:rsidRDefault="00C013EA" w:rsidP="00C013EA">
      <w:pPr>
        <w:pStyle w:val="Nagwek1"/>
      </w:pPr>
      <w:r>
        <w:t xml:space="preserve">Przedmiot reklamacji </w:t>
      </w:r>
    </w:p>
    <w:p w:rsidR="00C013EA" w:rsidRDefault="00C013EA" w:rsidP="00C013EA">
      <w:pPr>
        <w:pStyle w:val="ListaPrvH1"/>
      </w:pPr>
      <w:r>
        <w:t xml:space="preserve">Wykonawca odpowiada za reklamacje dotyczące:  </w:t>
      </w:r>
    </w:p>
    <w:p w:rsidR="00C013EA" w:rsidRDefault="00C013EA" w:rsidP="00C013EA">
      <w:pPr>
        <w:pStyle w:val="ListaPrvH2"/>
      </w:pPr>
      <w:r>
        <w:t>sprzedaży Biletów w AB (np. niewydanie reszty lub niezwrócenie gotówki pomimo anulowania transakcji, brak wydruku biletów papierowych);</w:t>
      </w:r>
    </w:p>
    <w:p w:rsidR="00C013EA" w:rsidRDefault="00C013EA" w:rsidP="00C013EA">
      <w:pPr>
        <w:pStyle w:val="ListaPrvH2"/>
      </w:pPr>
      <w:r>
        <w:t>zatrzymania karty płatniczej w AB;</w:t>
      </w:r>
    </w:p>
    <w:p w:rsidR="00C013EA" w:rsidRDefault="00C013EA" w:rsidP="00C013EA">
      <w:pPr>
        <w:pStyle w:val="ListaPrvH2"/>
      </w:pPr>
      <w:r>
        <w:t>innych przypadków związanych z funkcjonowaniem AB;</w:t>
      </w:r>
    </w:p>
    <w:p w:rsidR="00C013EA" w:rsidRDefault="00C013EA" w:rsidP="00C013EA">
      <w:pPr>
        <w:pStyle w:val="ListaPrvH2"/>
      </w:pPr>
      <w:r>
        <w:t>płatnością kartą płatniczą w AB w zakresie komunikacji pomiędzy AB a terminalem płatniczym.</w:t>
      </w:r>
    </w:p>
    <w:p w:rsidR="00C013EA" w:rsidRDefault="00C013EA" w:rsidP="00C013EA">
      <w:pPr>
        <w:pStyle w:val="ListaPrvH1"/>
      </w:pPr>
      <w:r>
        <w:t>Wykonawca nie odpowiada za reklamacje związane:</w:t>
      </w:r>
    </w:p>
    <w:p w:rsidR="00C013EA" w:rsidRDefault="00C013EA" w:rsidP="00C013EA">
      <w:pPr>
        <w:pStyle w:val="ListaPrvH2"/>
      </w:pPr>
      <w:r>
        <w:t>z niewykonaniem lub nienależytym wykonaniem usług przewozowych;</w:t>
      </w:r>
    </w:p>
    <w:p w:rsidR="00C013EA" w:rsidRDefault="00C013EA" w:rsidP="00C013EA">
      <w:pPr>
        <w:pStyle w:val="ListaPrvH2"/>
      </w:pPr>
      <w:r>
        <w:t>z wezwaniami do zapłaty opłaty dodatkowej;</w:t>
      </w:r>
    </w:p>
    <w:p w:rsidR="00C013EA" w:rsidRDefault="00C013EA" w:rsidP="00C013EA">
      <w:pPr>
        <w:pStyle w:val="ListaPrvH2"/>
      </w:pPr>
      <w:r>
        <w:t>ze zwrotem należności za zwrócone Bilety;</w:t>
      </w:r>
    </w:p>
    <w:p w:rsidR="00C013EA" w:rsidRDefault="00C013EA" w:rsidP="00C013EA">
      <w:pPr>
        <w:pStyle w:val="ListaPrvH2"/>
      </w:pPr>
      <w:r>
        <w:t xml:space="preserve">z płatnością kartą płatniczą w AB w zakresie rozliczenia pomiędzy operatorem płatniczym a Pasażerem lub Zamawiającym. </w:t>
      </w:r>
    </w:p>
    <w:p w:rsidR="00C013EA" w:rsidRDefault="00C013EA" w:rsidP="00C013EA">
      <w:pPr>
        <w:pStyle w:val="Nagwek1"/>
      </w:pPr>
      <w:r>
        <w:t>Sposoby złożenia reklamacji</w:t>
      </w:r>
    </w:p>
    <w:p w:rsidR="00C013EA" w:rsidRDefault="00C013EA" w:rsidP="00C013EA">
      <w:pPr>
        <w:pStyle w:val="ListaPrvH1"/>
        <w:numPr>
          <w:ilvl w:val="0"/>
          <w:numId w:val="0"/>
        </w:numPr>
      </w:pPr>
      <w:r>
        <w:t>Pasażer może złożyć reklamację w następujący sposób:</w:t>
      </w:r>
    </w:p>
    <w:p w:rsidR="00C013EA" w:rsidRDefault="00C013EA" w:rsidP="00C013EA">
      <w:pPr>
        <w:pStyle w:val="ListaPrvH2"/>
      </w:pPr>
      <w:r>
        <w:t xml:space="preserve">telefoniczne pod numerem : </w:t>
      </w:r>
      <w:r w:rsidR="006722C9" w:rsidRPr="006722C9">
        <w:rPr>
          <w:highlight w:val="yellow"/>
        </w:rPr>
        <w:t>…</w:t>
      </w:r>
      <w:r>
        <w:t xml:space="preserve"> zostanie uruchomiona dedykowana infolinia dla miasta Opola lub możliwość wybrania miasta Opola w przypadku wspólnej infolinii dla wielu miast;</w:t>
      </w:r>
    </w:p>
    <w:p w:rsidR="00C013EA" w:rsidRDefault="00C013EA" w:rsidP="00C013EA">
      <w:pPr>
        <w:pStyle w:val="ListaPrvH2"/>
      </w:pPr>
      <w:r>
        <w:t xml:space="preserve">poprzez przesłanie formularza reklamacyjnego na nr faksu: </w:t>
      </w:r>
      <w:r w:rsidR="006722C9" w:rsidRPr="006722C9">
        <w:rPr>
          <w:highlight w:val="yellow"/>
        </w:rPr>
        <w:t>…</w:t>
      </w:r>
      <w:r>
        <w:t>;</w:t>
      </w:r>
    </w:p>
    <w:p w:rsidR="00C013EA" w:rsidRDefault="00C013EA" w:rsidP="00C013EA">
      <w:pPr>
        <w:pStyle w:val="ListaPrvH2"/>
      </w:pPr>
      <w:r>
        <w:t xml:space="preserve">poprzez przesłanie formularza reklamacyjnego na adres e-mail: </w:t>
      </w:r>
      <w:r w:rsidR="006722C9" w:rsidRPr="006722C9">
        <w:rPr>
          <w:highlight w:val="yellow"/>
        </w:rPr>
        <w:t>…</w:t>
      </w:r>
      <w:r>
        <w:t>;</w:t>
      </w:r>
    </w:p>
    <w:p w:rsidR="00C013EA" w:rsidRDefault="00C013EA" w:rsidP="00C013EA">
      <w:pPr>
        <w:pStyle w:val="ListaPrvH2"/>
      </w:pPr>
      <w:r>
        <w:t>poprzez stronę Internetowego Centrum Obsługi Klienta: pop.mzkopole.pl (e-mail opolka.reklamacje@mzkopole.pl);</w:t>
      </w:r>
    </w:p>
    <w:p w:rsidR="00C013EA" w:rsidRDefault="00C013EA" w:rsidP="00C013EA">
      <w:pPr>
        <w:pStyle w:val="ListaPrvH2"/>
      </w:pPr>
      <w:r>
        <w:lastRenderedPageBreak/>
        <w:t>osobiście w POK – dowolnej kasie biletowej Wykonawcy.</w:t>
      </w:r>
    </w:p>
    <w:p w:rsidR="00C013EA" w:rsidRDefault="00C013EA" w:rsidP="00C013EA">
      <w:pPr>
        <w:pStyle w:val="Nagwek1"/>
      </w:pPr>
      <w:r>
        <w:t>Sposób postępowania w przypadku reklamacji</w:t>
      </w:r>
    </w:p>
    <w:p w:rsidR="00C013EA" w:rsidRDefault="00C013EA" w:rsidP="00C013EA">
      <w:pPr>
        <w:pStyle w:val="ListaPrvH1"/>
      </w:pPr>
      <w:r>
        <w:t>Pracownik COR przyjmujący zgłoszenie telefoniczne lub pracownik POR przyjmujący zgłoszenie bezpośrednio od Klienta wypełnia Formularz Reklamacyjny i informuje go o 30-dniowym terminie rozpatrzenia reklamacji.</w:t>
      </w:r>
    </w:p>
    <w:p w:rsidR="00C013EA" w:rsidRDefault="00C013EA" w:rsidP="00C013EA">
      <w:pPr>
        <w:pStyle w:val="ListaPrvH1"/>
      </w:pPr>
      <w:r>
        <w:t>Pracownik COR przyjmujący reklamację dotyczącą płatności kartą płatniczą w AB w zakresie rozliczenia pomiędzy operatorem płatniczym a Pasażerem lub Wykonawcą n</w:t>
      </w:r>
      <w:r w:rsidR="006722C9">
        <w:t>i</w:t>
      </w:r>
      <w:r>
        <w:t xml:space="preserve">ezwłocznie przekazuje, najpóźniej w następnym dniu roboczym, zgłoszenie pracownikowi POR.  </w:t>
      </w:r>
    </w:p>
    <w:p w:rsidR="00C013EA" w:rsidRDefault="00C013EA" w:rsidP="00C013EA">
      <w:pPr>
        <w:pStyle w:val="ListaPrvH1"/>
      </w:pPr>
      <w:r>
        <w:t>Pracownik przyjmujący zgłoszenie, na podstawie deklaracji Klienta określa na Formularzu Reklamacyjnym sposób realizacji zwrotu w przypadku uznania reklamacji:</w:t>
      </w:r>
    </w:p>
    <w:p w:rsidR="00C013EA" w:rsidRDefault="00C013EA" w:rsidP="00C013EA">
      <w:pPr>
        <w:pStyle w:val="ListaPrvH2"/>
      </w:pPr>
      <w:r>
        <w:t>w przypadku zwrotu na rachunek bankowy (zwrotu dokonuje COR) Klient zobowiązany jest wypełnić oświadczenie - wpłata na rachunek;</w:t>
      </w:r>
    </w:p>
    <w:p w:rsidR="00C013EA" w:rsidRDefault="00C013EA" w:rsidP="00C013EA">
      <w:pPr>
        <w:pStyle w:val="ListaPrvH2"/>
      </w:pPr>
      <w:r>
        <w:t>w przypadku zwrotu za pośrednictwem poczty (zwrot gotówki realizowany jest w COR na podstawie przekazu pocztowego na podany przez Klienta adres);</w:t>
      </w:r>
    </w:p>
    <w:p w:rsidR="00C013EA" w:rsidRDefault="00C013EA" w:rsidP="00C013EA">
      <w:pPr>
        <w:pStyle w:val="ListaPrvH2"/>
      </w:pPr>
      <w:r>
        <w:t>w przypadku reklamacji dotyczącej płatności kartą płatniczą w AB przy pozytywnym rozpatrzeniu reklamacji zwrot następuje wyłącznie na rachunek Klienta (zwrotu dokonuje POR).</w:t>
      </w:r>
    </w:p>
    <w:p w:rsidR="00C013EA" w:rsidRDefault="00C013EA" w:rsidP="00C013EA">
      <w:pPr>
        <w:pStyle w:val="ListaPrvH1"/>
      </w:pPr>
      <w:r>
        <w:t xml:space="preserve">Pracownik POR niezwłocznie po przyjęciu reklamacji przekazuje zgłoszenie na adres e-mail: </w:t>
      </w:r>
      <w:r w:rsidR="006722C9" w:rsidRPr="006722C9">
        <w:rPr>
          <w:highlight w:val="yellow"/>
        </w:rPr>
        <w:t>…</w:t>
      </w:r>
      <w:r>
        <w:t xml:space="preserve"> lub na adres e-mail osoby upoważnionej przez Wykonawcę do bieżących kontaktów w zakresie rozpatrywania reklamacji.</w:t>
      </w:r>
    </w:p>
    <w:p w:rsidR="00C013EA" w:rsidRDefault="00C013EA" w:rsidP="00C013EA">
      <w:pPr>
        <w:pStyle w:val="ListaPrvH1"/>
      </w:pPr>
      <w:r>
        <w:t xml:space="preserve">Pracownik COR zgodnie z procedurami wewnętrznymi, rozpatruje reklamację niezwłocznie, nie później niż w terminie 21 dni. </w:t>
      </w:r>
    </w:p>
    <w:p w:rsidR="00C013EA" w:rsidRDefault="00C013EA" w:rsidP="00C013EA">
      <w:pPr>
        <w:pStyle w:val="ListaPrvH1"/>
      </w:pPr>
      <w:r>
        <w:t>Pracownik COR do dnia 10 – go każdego miesiąca przekazuje do POR miesięczne zestawienie rozpatrzonych reklamacji informując POR o sposobie załatwienia sprawy. Konstrukcja zestawienia będzie z podziałem: na reklamacje rozpatrzone pozytywnie i negatywnie; wielkość wypłaconych rekompensat/odszkodowań; z podziałem na rodzaj reklamacji – z jakiego tytułu reklamacja została złożona i inne szczegóły potrzebne do sporządzenia sprawozdawczości Zamawiającego.</w:t>
      </w:r>
    </w:p>
    <w:p w:rsidR="00C013EA" w:rsidRDefault="00C013EA" w:rsidP="00C013EA">
      <w:pPr>
        <w:pStyle w:val="ListaPrvH1"/>
      </w:pPr>
      <w:r>
        <w:t>COR, informuje Klienta o wyniku postępowania reklamacyjnego.</w:t>
      </w:r>
    </w:p>
    <w:p w:rsidR="00C013EA" w:rsidRDefault="00C013EA" w:rsidP="00C013EA">
      <w:pPr>
        <w:pStyle w:val="ListaPrvH2"/>
      </w:pPr>
      <w:r>
        <w:t xml:space="preserve">W przypadku reklamacji rozpatrzonej pozytywnie: </w:t>
      </w:r>
    </w:p>
    <w:p w:rsidR="00C013EA" w:rsidRDefault="00C013EA" w:rsidP="00C013EA">
      <w:pPr>
        <w:pStyle w:val="ListaPrvH3"/>
      </w:pPr>
      <w:r>
        <w:lastRenderedPageBreak/>
        <w:t>w przypadku zwrotu należności na rachunek bankowy Klienta, pracownik COR dokonuje przelewu należności na podany w oświadczeniu numer rachunku Klienta;</w:t>
      </w:r>
    </w:p>
    <w:p w:rsidR="00C013EA" w:rsidRDefault="00C013EA" w:rsidP="00C013EA">
      <w:pPr>
        <w:pStyle w:val="ListaPrvH3"/>
      </w:pPr>
      <w:r>
        <w:t>w przypadku zwrotu należności za pośrednictwem Poczty, pracownik COR dokonuje zwrotu należności na podstawie przekazu pocztowego na podany przez Klienta adres.</w:t>
      </w:r>
    </w:p>
    <w:p w:rsidR="00C013EA" w:rsidRDefault="00C013EA" w:rsidP="00C013EA">
      <w:pPr>
        <w:pStyle w:val="ListaPrvH2"/>
      </w:pPr>
      <w:r>
        <w:t xml:space="preserve">W przypadku reklamacji rozpatrzonej negatywnie: </w:t>
      </w:r>
    </w:p>
    <w:p w:rsidR="00C013EA" w:rsidRDefault="00C013EA" w:rsidP="00C013EA">
      <w:pPr>
        <w:pStyle w:val="ListaPrvH3"/>
      </w:pPr>
      <w:r>
        <w:t>pracownik COR informuje Klienta o negatywnej decyzji przedstawiając uzasadnienie . Informuje również Klienta o prawie złożenia pisemnego odwołania od podjętej decyzji.</w:t>
      </w:r>
    </w:p>
    <w:p w:rsidR="00C013EA" w:rsidRDefault="00C013EA" w:rsidP="00C013EA">
      <w:pPr>
        <w:pStyle w:val="ListaPrvH3"/>
      </w:pPr>
      <w:r>
        <w:t>W przypadku reklamacji rozpatrzonej negatywnie pracownik COR ma obowiązek wydać, na prośbę Klienta, kopię Formularza Reklamacyjnego uzupełnionego o ustalenia POR).</w:t>
      </w:r>
    </w:p>
    <w:p w:rsidR="00C013EA" w:rsidRDefault="00C013EA" w:rsidP="00C013EA">
      <w:pPr>
        <w:pStyle w:val="ListaPrvH1"/>
      </w:pPr>
      <w:r>
        <w:t xml:space="preserve">Po zakończeniu postępowania reklamacyjnego Formularz Reklamacyjny uzupełniony o ustalenia COR i oświadczenie końcowe zostaje zarchiwizowany w COR. </w:t>
      </w:r>
    </w:p>
    <w:p w:rsidR="00C013EA" w:rsidRDefault="00C013EA" w:rsidP="00C013EA">
      <w:pPr>
        <w:pStyle w:val="Nagwek1"/>
      </w:pPr>
      <w:r>
        <w:t>Sposób postępowania w przypadku reklamacji zatrzymania karty płatniczej w Stacjonarnych Automacie Biletowym.</w:t>
      </w:r>
    </w:p>
    <w:p w:rsidR="00C013EA" w:rsidRDefault="00C013EA" w:rsidP="00C013EA">
      <w:pPr>
        <w:pStyle w:val="ListaPrvH1"/>
      </w:pPr>
      <w:r>
        <w:t xml:space="preserve">Pracownik COR lub POR informuje Klienta zgłaszającego zatrzymanie karty w Automacie Biletowym o konieczności zastrzeżenia karty w banku oraz o tym, że karta zostanie przekazana do banku, który wydał kartę. </w:t>
      </w:r>
    </w:p>
    <w:p w:rsidR="00C013EA" w:rsidRDefault="00C013EA" w:rsidP="00C013EA">
      <w:pPr>
        <w:pStyle w:val="ListaPrvH1"/>
      </w:pPr>
      <w:r>
        <w:t>Pracownik POR niezwłocznie po przyjęciu zgłoszenia przekazuje je do COR, drogą elektroniczną na ustalony adres email lub telefonicznie.</w:t>
      </w:r>
    </w:p>
    <w:p w:rsidR="00C013EA" w:rsidRDefault="00C013EA" w:rsidP="00C013EA">
      <w:pPr>
        <w:pStyle w:val="ListaPrvH1"/>
      </w:pPr>
      <w:r>
        <w:t xml:space="preserve">Zatrzymana w Automacie Biletowym karta płatnicza zwracana jest do oddziału banku, który wydał kartę bądź przesłana na wskazany na karcie adres listem za potwierdzeniem odbioru. </w:t>
      </w:r>
      <w:bookmarkEnd w:id="0"/>
    </w:p>
    <w:sectPr w:rsidR="00C013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714" w:rsidRDefault="00254714" w:rsidP="005352E4">
      <w:pPr>
        <w:spacing w:line="240" w:lineRule="auto"/>
      </w:pPr>
      <w:r>
        <w:separator/>
      </w:r>
    </w:p>
  </w:endnote>
  <w:endnote w:type="continuationSeparator" w:id="0">
    <w:p w:rsidR="00254714" w:rsidRDefault="00254714" w:rsidP="005352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5201648"/>
      <w:docPartObj>
        <w:docPartGallery w:val="Page Numbers (Bottom of Page)"/>
        <w:docPartUnique/>
      </w:docPartObj>
    </w:sdtPr>
    <w:sdtEndPr/>
    <w:sdtContent>
      <w:p w:rsidR="005352E4" w:rsidRDefault="005352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55F">
          <w:rPr>
            <w:noProof/>
          </w:rPr>
          <w:t>1</w:t>
        </w:r>
        <w:r>
          <w:fldChar w:fldCharType="end"/>
        </w:r>
      </w:p>
    </w:sdtContent>
  </w:sdt>
  <w:p w:rsidR="005352E4" w:rsidRDefault="005352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714" w:rsidRDefault="00254714" w:rsidP="005352E4">
      <w:pPr>
        <w:spacing w:line="240" w:lineRule="auto"/>
      </w:pPr>
      <w:r>
        <w:separator/>
      </w:r>
    </w:p>
  </w:footnote>
  <w:footnote w:type="continuationSeparator" w:id="0">
    <w:p w:rsidR="00254714" w:rsidRDefault="00254714" w:rsidP="005352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35D4"/>
    <w:multiLevelType w:val="multilevel"/>
    <w:tmpl w:val="59B4AFA2"/>
    <w:lvl w:ilvl="0">
      <w:start w:val="1"/>
      <w:numFmt w:val="decimal"/>
      <w:pStyle w:val="Nagwek1"/>
      <w:lvlText w:val="§ %1"/>
      <w:lvlJc w:val="center"/>
      <w:pPr>
        <w:ind w:left="0" w:firstLine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ListaPrvH1"/>
      <w:lvlText w:val="%2.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istaPrvH2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lowerLetter"/>
      <w:pStyle w:val="ListaPrvH3"/>
      <w:lvlText w:val="%4)"/>
      <w:lvlJc w:val="left"/>
      <w:pPr>
        <w:ind w:left="1276" w:hanging="425"/>
      </w:pPr>
      <w:rPr>
        <w:rFonts w:hint="default"/>
        <w:color w:val="auto"/>
      </w:rPr>
    </w:lvl>
    <w:lvl w:ilvl="4">
      <w:start w:val="1"/>
      <w:numFmt w:val="bullet"/>
      <w:pStyle w:val="ListaPrvH4"/>
      <w:lvlText w:val=""/>
      <w:lvlJc w:val="left"/>
      <w:pPr>
        <w:tabs>
          <w:tab w:val="num" w:pos="2126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125" w:firstLine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0" w:firstLine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75" w:firstLine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0" w:firstLine="425"/>
      </w:pPr>
      <w:rPr>
        <w:rFonts w:hint="default"/>
      </w:rPr>
    </w:lvl>
  </w:abstractNum>
  <w:abstractNum w:abstractNumId="1" w15:restartNumberingAfterBreak="0">
    <w:nsid w:val="6BD05195"/>
    <w:multiLevelType w:val="multilevel"/>
    <w:tmpl w:val="72DCC07E"/>
    <w:lvl w:ilvl="0">
      <w:start w:val="1"/>
      <w:numFmt w:val="decimal"/>
      <w:lvlText w:val="§ %1"/>
      <w:lvlJc w:val="center"/>
      <w:pPr>
        <w:ind w:left="0" w:firstLine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6" w:hanging="425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2126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125" w:firstLine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0" w:firstLine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75" w:firstLine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0" w:firstLine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3F7"/>
    <w:rsid w:val="00046A2F"/>
    <w:rsid w:val="001223ED"/>
    <w:rsid w:val="00143B80"/>
    <w:rsid w:val="001803F7"/>
    <w:rsid w:val="001A7E9F"/>
    <w:rsid w:val="002241B5"/>
    <w:rsid w:val="00254714"/>
    <w:rsid w:val="00264595"/>
    <w:rsid w:val="002F6890"/>
    <w:rsid w:val="00327474"/>
    <w:rsid w:val="00380FF3"/>
    <w:rsid w:val="003A6081"/>
    <w:rsid w:val="003D5C92"/>
    <w:rsid w:val="005352E4"/>
    <w:rsid w:val="005404F9"/>
    <w:rsid w:val="005620E3"/>
    <w:rsid w:val="005A2708"/>
    <w:rsid w:val="005C4AA0"/>
    <w:rsid w:val="005D143D"/>
    <w:rsid w:val="006722C9"/>
    <w:rsid w:val="006773F2"/>
    <w:rsid w:val="006849E7"/>
    <w:rsid w:val="0069455F"/>
    <w:rsid w:val="007069D1"/>
    <w:rsid w:val="0072200B"/>
    <w:rsid w:val="007932C9"/>
    <w:rsid w:val="00893791"/>
    <w:rsid w:val="008D2434"/>
    <w:rsid w:val="0091525F"/>
    <w:rsid w:val="009E19EA"/>
    <w:rsid w:val="00A65705"/>
    <w:rsid w:val="00A75055"/>
    <w:rsid w:val="00AA6927"/>
    <w:rsid w:val="00AB00D6"/>
    <w:rsid w:val="00AC4879"/>
    <w:rsid w:val="00B255ED"/>
    <w:rsid w:val="00B81DFA"/>
    <w:rsid w:val="00C013EA"/>
    <w:rsid w:val="00D316AB"/>
    <w:rsid w:val="00D9696F"/>
    <w:rsid w:val="00EA7DA1"/>
    <w:rsid w:val="00FB7C23"/>
    <w:rsid w:val="00FC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ED0D"/>
  <w15:chartTrackingRefBased/>
  <w15:docId w15:val="{5AD7576D-B387-4379-8793-AE7BC21A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3F7"/>
    <w:rPr>
      <w:rFonts w:ascii="Times New Roman" w:hAnsi="Times New Roman"/>
      <w:sz w:val="24"/>
    </w:rPr>
  </w:style>
  <w:style w:type="paragraph" w:styleId="Nagwek1">
    <w:name w:val="heading 1"/>
    <w:basedOn w:val="Normalny"/>
    <w:next w:val="ListaPrvH1"/>
    <w:link w:val="Nagwek1Znak"/>
    <w:uiPriority w:val="9"/>
    <w:qFormat/>
    <w:rsid w:val="00046A2F"/>
    <w:pPr>
      <w:keepNext/>
      <w:keepLines/>
      <w:numPr>
        <w:numId w:val="2"/>
      </w:numPr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48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6A2F"/>
    <w:rPr>
      <w:rFonts w:ascii="Times New Roman" w:eastAsiaTheme="majorEastAsia" w:hAnsi="Times New Roman" w:cstheme="majorBidi"/>
      <w:b/>
      <w:sz w:val="24"/>
      <w:szCs w:val="32"/>
    </w:rPr>
  </w:style>
  <w:style w:type="paragraph" w:styleId="Tekstpodstawowy2">
    <w:name w:val="Body Text 2"/>
    <w:basedOn w:val="Normalny"/>
    <w:link w:val="Tekstpodstawowy2Znak"/>
    <w:semiHidden/>
    <w:rsid w:val="001803F7"/>
    <w:rPr>
      <w:rFonts w:eastAsia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803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46A2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46A2F"/>
    <w:pPr>
      <w:widowControl w:val="0"/>
      <w:suppressAutoHyphens/>
      <w:spacing w:line="240" w:lineRule="auto"/>
      <w:ind w:left="708"/>
    </w:pPr>
    <w:rPr>
      <w:rFonts w:eastAsia="Lucida Sans Unicode" w:cs="Tahoma"/>
      <w:kern w:val="1"/>
      <w:szCs w:val="24"/>
      <w:lang w:eastAsia="hi-IN" w:bidi="hi-IN"/>
    </w:rPr>
  </w:style>
  <w:style w:type="paragraph" w:customStyle="1" w:styleId="Paragraf">
    <w:name w:val="Paragraf"/>
    <w:basedOn w:val="Normalny"/>
    <w:rsid w:val="002241B5"/>
    <w:pPr>
      <w:autoSpaceDE w:val="0"/>
      <w:autoSpaceDN w:val="0"/>
      <w:spacing w:before="120" w:after="60" w:line="240" w:lineRule="auto"/>
      <w:jc w:val="center"/>
    </w:pPr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ColorfulList-Accent11">
    <w:name w:val="Colorful List - Accent 11"/>
    <w:basedOn w:val="Normalny"/>
    <w:rsid w:val="003D5C92"/>
    <w:pPr>
      <w:spacing w:line="240" w:lineRule="auto"/>
      <w:ind w:left="720"/>
      <w:contextualSpacing/>
    </w:pPr>
    <w:rPr>
      <w:rFonts w:ascii="Cambria" w:eastAsia="Cambria" w:hAnsi="Cambria" w:cs="Times New Roman"/>
      <w:szCs w:val="24"/>
    </w:rPr>
  </w:style>
  <w:style w:type="paragraph" w:styleId="Tekstblokowy">
    <w:name w:val="Block Text"/>
    <w:basedOn w:val="Normalny"/>
    <w:uiPriority w:val="99"/>
    <w:rsid w:val="003D5C92"/>
    <w:pPr>
      <w:tabs>
        <w:tab w:val="num" w:pos="-360"/>
      </w:tabs>
      <w:spacing w:line="240" w:lineRule="auto"/>
      <w:ind w:left="-360" w:right="-288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48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ListaPrvH1">
    <w:name w:val="ListaPrvH1"/>
    <w:basedOn w:val="Normalny"/>
    <w:link w:val="ListaPrvH1Znak"/>
    <w:qFormat/>
    <w:rsid w:val="005A2708"/>
    <w:pPr>
      <w:numPr>
        <w:ilvl w:val="1"/>
        <w:numId w:val="2"/>
      </w:numPr>
      <w:jc w:val="both"/>
    </w:pPr>
  </w:style>
  <w:style w:type="paragraph" w:customStyle="1" w:styleId="ListaPrvH2">
    <w:name w:val="ListaPrvH2"/>
    <w:basedOn w:val="Normalny"/>
    <w:link w:val="ListaPrvH2Znak"/>
    <w:qFormat/>
    <w:rsid w:val="005A2708"/>
    <w:pPr>
      <w:numPr>
        <w:ilvl w:val="2"/>
        <w:numId w:val="2"/>
      </w:numPr>
      <w:jc w:val="both"/>
    </w:pPr>
  </w:style>
  <w:style w:type="character" w:customStyle="1" w:styleId="ListaPrvH1Znak">
    <w:name w:val="ListaPrvH1 Znak"/>
    <w:basedOn w:val="Domylnaczcionkaakapitu"/>
    <w:link w:val="ListaPrvH1"/>
    <w:rsid w:val="005A2708"/>
    <w:rPr>
      <w:rFonts w:ascii="Times New Roman" w:hAnsi="Times New Roman"/>
      <w:sz w:val="24"/>
    </w:rPr>
  </w:style>
  <w:style w:type="paragraph" w:customStyle="1" w:styleId="ListaPrvH3">
    <w:name w:val="ListaPrvH3"/>
    <w:basedOn w:val="Normalny"/>
    <w:link w:val="ListaPrvH3Znak"/>
    <w:qFormat/>
    <w:rsid w:val="005A2708"/>
    <w:pPr>
      <w:numPr>
        <w:ilvl w:val="3"/>
        <w:numId w:val="2"/>
      </w:numPr>
      <w:jc w:val="both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316AB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ListaPrvH2Znak">
    <w:name w:val="ListaPrvH2 Znak"/>
    <w:basedOn w:val="AkapitzlistZnak"/>
    <w:link w:val="ListaPrvH2"/>
    <w:rsid w:val="005A2708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ListaPrvH4">
    <w:name w:val="ListaPrvH4"/>
    <w:basedOn w:val="Normalny"/>
    <w:link w:val="ListaPrvH4Znak"/>
    <w:qFormat/>
    <w:rsid w:val="005A2708"/>
    <w:pPr>
      <w:numPr>
        <w:ilvl w:val="4"/>
        <w:numId w:val="2"/>
      </w:numPr>
      <w:jc w:val="both"/>
    </w:pPr>
  </w:style>
  <w:style w:type="character" w:customStyle="1" w:styleId="ListaPrvH3Znak">
    <w:name w:val="ListaPrvH3 Znak"/>
    <w:basedOn w:val="Nagwek1Znak"/>
    <w:link w:val="ListaPrvH3"/>
    <w:rsid w:val="005A2708"/>
    <w:rPr>
      <w:rFonts w:ascii="Times New Roman" w:eastAsiaTheme="majorEastAsia" w:hAnsi="Times New Roman" w:cstheme="majorBidi"/>
      <w:b w:val="0"/>
      <w:sz w:val="24"/>
      <w:szCs w:val="32"/>
    </w:rPr>
  </w:style>
  <w:style w:type="character" w:customStyle="1" w:styleId="ListaPrvH4Znak">
    <w:name w:val="ListaPrvH4 Znak"/>
    <w:basedOn w:val="Domylnaczcionkaakapitu"/>
    <w:link w:val="ListaPrvH4"/>
    <w:rsid w:val="005A2708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5352E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2E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352E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2E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D4F02-8679-4F0E-B140-B92D0ED7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Kolenda</dc:creator>
  <cp:keywords/>
  <dc:description/>
  <cp:lastModifiedBy>MZK</cp:lastModifiedBy>
  <cp:revision>27</cp:revision>
  <dcterms:created xsi:type="dcterms:W3CDTF">2022-04-07T08:16:00Z</dcterms:created>
  <dcterms:modified xsi:type="dcterms:W3CDTF">2023-11-28T10:43:00Z</dcterms:modified>
</cp:coreProperties>
</file>