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1C4C581F" w:rsidR="001D071C" w:rsidRPr="00154BC0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0" w:name="_Hlk139016454"/>
      <w:r>
        <w:rPr>
          <w:rFonts w:cstheme="minorHAnsi"/>
          <w:b/>
          <w:bCs/>
          <w:sz w:val="28"/>
          <w:szCs w:val="28"/>
        </w:rPr>
        <w:t>„</w:t>
      </w:r>
      <w:bookmarkStart w:id="1" w:name="_Hlk139447496"/>
      <w:bookmarkStart w:id="2" w:name="_Hlk164327815"/>
      <w:bookmarkEnd w:id="0"/>
      <w:r w:rsidR="00692C02" w:rsidRPr="00EB2B2B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>Remont</w:t>
      </w:r>
      <w:bookmarkEnd w:id="1"/>
      <w:r w:rsidR="00692C02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 xml:space="preserve"> schodów </w:t>
      </w:r>
      <w:r w:rsidR="005411D8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>zewnętrznych</w:t>
      </w:r>
      <w:r w:rsidR="00692C02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 xml:space="preserve"> do budynków Uniwersytetu Medycznego w Łodzi</w:t>
      </w:r>
      <w:bookmarkEnd w:id="2"/>
      <w:r w:rsidR="008C7981"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143BEFEB" w:rsidR="00C93EA9" w:rsidRPr="00154BC0" w:rsidRDefault="002A6B2A" w:rsidP="00B91214">
      <w:pPr>
        <w:spacing w:before="240" w:after="30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4B5367">
        <w:rPr>
          <w:rFonts w:cstheme="minorHAnsi"/>
          <w:b/>
          <w:sz w:val="28"/>
          <w:szCs w:val="24"/>
        </w:rPr>
        <w:t>31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235D42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CA2A3D">
      <w:pPr>
        <w:spacing w:after="49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30BBAFA1" w:rsidR="00011D15" w:rsidRPr="00154BC0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1F1B8D">
        <w:rPr>
          <w:rFonts w:cstheme="minorHAnsi"/>
        </w:rPr>
        <w:t>kwiecień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235D42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06D67083" w14:textId="1D58A2A1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0D2146" w:rsidRPr="00154BC0">
        <w:rPr>
          <w:rFonts w:cstheme="minorHAnsi"/>
          <w:b/>
          <w:szCs w:val="22"/>
          <w:lang w:eastAsia="x-none"/>
        </w:rPr>
        <w:t>roboty budowlane polegające</w:t>
      </w:r>
      <w:r w:rsidR="00C74941">
        <w:rPr>
          <w:rFonts w:cstheme="minorHAnsi"/>
          <w:b/>
          <w:szCs w:val="22"/>
          <w:lang w:eastAsia="x-none"/>
        </w:rPr>
        <w:t xml:space="preserve"> na</w:t>
      </w:r>
      <w:r w:rsidR="000D2146" w:rsidRPr="00154BC0">
        <w:rPr>
          <w:rFonts w:cstheme="minorHAnsi"/>
          <w:b/>
          <w:szCs w:val="22"/>
          <w:lang w:eastAsia="x-none"/>
        </w:rPr>
        <w:t xml:space="preserve"> </w:t>
      </w:r>
      <w:r w:rsidR="004E357C">
        <w:rPr>
          <w:rFonts w:cstheme="minorHAnsi"/>
          <w:b/>
          <w:bCs/>
          <w:szCs w:val="22"/>
          <w:lang w:eastAsia="x-none"/>
        </w:rPr>
        <w:t>r</w:t>
      </w:r>
      <w:r w:rsidR="004E357C" w:rsidRPr="004E357C">
        <w:rPr>
          <w:rFonts w:cstheme="minorHAnsi"/>
          <w:b/>
          <w:bCs/>
          <w:szCs w:val="22"/>
          <w:lang w:eastAsia="x-none"/>
        </w:rPr>
        <w:t>emon</w:t>
      </w:r>
      <w:r w:rsidR="004E357C">
        <w:rPr>
          <w:rFonts w:cstheme="minorHAnsi"/>
          <w:b/>
          <w:bCs/>
          <w:szCs w:val="22"/>
          <w:lang w:eastAsia="x-none"/>
        </w:rPr>
        <w:t>ci</w:t>
      </w:r>
      <w:r w:rsidR="00D3164A">
        <w:rPr>
          <w:rFonts w:cstheme="minorHAnsi"/>
          <w:b/>
          <w:bCs/>
          <w:szCs w:val="22"/>
          <w:lang w:eastAsia="x-none"/>
        </w:rPr>
        <w:t>e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</w:t>
      </w:r>
      <w:r w:rsidR="002F4346">
        <w:rPr>
          <w:rFonts w:cstheme="minorHAnsi"/>
          <w:b/>
          <w:bCs/>
          <w:szCs w:val="22"/>
          <w:lang w:eastAsia="x-none"/>
        </w:rPr>
        <w:t>schodów</w:t>
      </w:r>
      <w:r w:rsidR="001338B9">
        <w:rPr>
          <w:rFonts w:cstheme="minorHAnsi"/>
          <w:b/>
          <w:bCs/>
          <w:szCs w:val="22"/>
          <w:lang w:eastAsia="x-none"/>
        </w:rPr>
        <w:t xml:space="preserve"> </w:t>
      </w:r>
      <w:r w:rsidR="005411D8">
        <w:rPr>
          <w:rFonts w:cstheme="minorHAnsi"/>
          <w:b/>
          <w:bCs/>
          <w:szCs w:val="22"/>
          <w:lang w:eastAsia="x-none"/>
        </w:rPr>
        <w:t>zewnętrznych</w:t>
      </w:r>
      <w:r w:rsidR="002F4346">
        <w:rPr>
          <w:rFonts w:cstheme="minorHAnsi"/>
          <w:b/>
          <w:bCs/>
          <w:szCs w:val="22"/>
          <w:lang w:eastAsia="x-none"/>
        </w:rPr>
        <w:t xml:space="preserve"> w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budynk</w:t>
      </w:r>
      <w:r w:rsidR="002F4346">
        <w:rPr>
          <w:rFonts w:cstheme="minorHAnsi"/>
          <w:b/>
          <w:bCs/>
          <w:szCs w:val="22"/>
          <w:lang w:eastAsia="x-none"/>
        </w:rPr>
        <w:t>ach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Uniwersytetu Medycznego w Łodzi</w:t>
      </w:r>
      <w:r w:rsidR="000F0852">
        <w:rPr>
          <w:rFonts w:cstheme="minorHAnsi"/>
          <w:b/>
          <w:bCs/>
          <w:szCs w:val="22"/>
          <w:lang w:eastAsia="x-none"/>
        </w:rPr>
        <w:t xml:space="preserve"> -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przy ul. </w:t>
      </w:r>
      <w:r w:rsidR="000F0852">
        <w:rPr>
          <w:rFonts w:cstheme="minorHAnsi"/>
          <w:b/>
          <w:bCs/>
          <w:szCs w:val="22"/>
          <w:lang w:eastAsia="x-none"/>
        </w:rPr>
        <w:t>Mazowieckiej 6/8 oraz w budynku C7 przy ul. Pomorskiej 251</w:t>
      </w:r>
      <w:r w:rsidR="00F25F94" w:rsidRPr="00F25F94">
        <w:rPr>
          <w:rFonts w:cstheme="minorHAnsi"/>
          <w:b/>
          <w:bCs/>
          <w:szCs w:val="22"/>
          <w:lang w:eastAsia="x-none"/>
        </w:rPr>
        <w:t>.</w:t>
      </w:r>
    </w:p>
    <w:p w14:paraId="649146E3" w14:textId="3B08FAE1" w:rsidR="004F6D1D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Cs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D5436E">
        <w:rPr>
          <w:rFonts w:cstheme="minorHAnsi"/>
          <w:szCs w:val="22"/>
          <w:lang w:eastAsia="x-none"/>
        </w:rPr>
        <w:t xml:space="preserve"> </w:t>
      </w:r>
      <w:r w:rsidR="00BE0E6E" w:rsidRPr="004664EC">
        <w:rPr>
          <w:rFonts w:cstheme="minorHAnsi"/>
          <w:b/>
          <w:szCs w:val="22"/>
        </w:rPr>
        <w:t>kosztorys</w:t>
      </w:r>
      <w:r w:rsidR="00D20EA1">
        <w:rPr>
          <w:rFonts w:cstheme="minorHAnsi"/>
          <w:b/>
          <w:szCs w:val="22"/>
        </w:rPr>
        <w:t>y</w:t>
      </w:r>
      <w:r w:rsidR="004F6D1D" w:rsidRPr="004664EC">
        <w:rPr>
          <w:rFonts w:cstheme="minorHAnsi"/>
          <w:b/>
          <w:szCs w:val="22"/>
        </w:rPr>
        <w:t xml:space="preserve"> nakładcz</w:t>
      </w:r>
      <w:r w:rsidR="00D20EA1">
        <w:rPr>
          <w:rFonts w:cstheme="minorHAnsi"/>
          <w:b/>
          <w:szCs w:val="22"/>
        </w:rPr>
        <w:t>e</w:t>
      </w:r>
      <w:r w:rsidR="00692429" w:rsidRPr="004664EC">
        <w:rPr>
          <w:rFonts w:cstheme="minorHAnsi"/>
          <w:b/>
          <w:szCs w:val="22"/>
        </w:rPr>
        <w:t xml:space="preserve"> – zał. nr 2</w:t>
      </w:r>
      <w:r w:rsidR="00005A86" w:rsidRPr="004664EC">
        <w:rPr>
          <w:rFonts w:cstheme="minorHAnsi"/>
          <w:b/>
          <w:szCs w:val="22"/>
        </w:rPr>
        <w:t>.</w:t>
      </w:r>
      <w:r w:rsidR="00D20EA1">
        <w:rPr>
          <w:rFonts w:cstheme="minorHAnsi"/>
          <w:b/>
          <w:szCs w:val="22"/>
        </w:rPr>
        <w:t>1 oraz 2.2.</w:t>
      </w:r>
    </w:p>
    <w:p w14:paraId="1EB121DD" w14:textId="289E6D00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</w:t>
      </w:r>
      <w:r w:rsidR="00D20EA1">
        <w:rPr>
          <w:rFonts w:cstheme="minorHAnsi"/>
          <w:b/>
          <w:szCs w:val="22"/>
        </w:rPr>
        <w:t>ych</w:t>
      </w:r>
      <w:r w:rsidR="004F6D1D" w:rsidRPr="00226353">
        <w:rPr>
          <w:rFonts w:cstheme="minorHAnsi"/>
          <w:b/>
          <w:szCs w:val="22"/>
        </w:rPr>
        <w:t xml:space="preserve"> obiekt</w:t>
      </w:r>
      <w:r w:rsidR="00D20EA1">
        <w:rPr>
          <w:rFonts w:cstheme="minorHAnsi"/>
          <w:b/>
          <w:szCs w:val="22"/>
        </w:rPr>
        <w:t>ów.</w:t>
      </w:r>
      <w:r w:rsidR="00C74941" w:rsidRPr="00226353">
        <w:rPr>
          <w:rFonts w:cstheme="minorHAnsi"/>
          <w:b/>
          <w:szCs w:val="22"/>
        </w:rPr>
        <w:t xml:space="preserve">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1B4E9AEB" w:rsidR="00C2378F" w:rsidRPr="00154BC0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</w:p>
    <w:p w14:paraId="68A59CCE" w14:textId="41FC00C9" w:rsidR="00C54DA7" w:rsidRPr="005512D9" w:rsidRDefault="00C54DA7" w:rsidP="00806893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5512D9">
        <w:rPr>
          <w:rFonts w:cstheme="minorHAnsi"/>
          <w:szCs w:val="22"/>
          <w:lang w:eastAsia="x-none"/>
        </w:rPr>
        <w:t xml:space="preserve">Zamawiający </w:t>
      </w:r>
      <w:r w:rsidRPr="005512D9">
        <w:rPr>
          <w:rFonts w:cstheme="minorHAnsi"/>
          <w:b/>
          <w:bCs/>
          <w:szCs w:val="22"/>
          <w:lang w:eastAsia="x-none"/>
        </w:rPr>
        <w:t>nie dopuszcza</w:t>
      </w:r>
      <w:r w:rsidRPr="005512D9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5512D9">
        <w:rPr>
          <w:rFonts w:cstheme="minorHAnsi"/>
          <w:szCs w:val="22"/>
          <w:lang w:eastAsia="x-none"/>
        </w:rPr>
        <w:t>.</w:t>
      </w:r>
      <w:r w:rsidR="009D5D18" w:rsidRPr="005512D9">
        <w:rPr>
          <w:rFonts w:cstheme="minorHAnsi"/>
          <w:szCs w:val="22"/>
          <w:lang w:eastAsia="x-none"/>
        </w:rPr>
        <w:t xml:space="preserve"> </w:t>
      </w:r>
      <w:r w:rsidR="00660F5C" w:rsidRPr="005512D9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5512D9">
        <w:rPr>
          <w:rFonts w:cstheme="minorHAnsi"/>
          <w:szCs w:val="22"/>
          <w:lang w:eastAsia="x-none"/>
        </w:rPr>
        <w:t xml:space="preserve">robót budowlanych </w:t>
      </w:r>
      <w:r w:rsidR="006719DC" w:rsidRPr="005512D9">
        <w:rPr>
          <w:rFonts w:cstheme="minorHAnsi"/>
          <w:szCs w:val="22"/>
          <w:lang w:eastAsia="x-none"/>
        </w:rPr>
        <w:t xml:space="preserve">polegających na wykonaniu </w:t>
      </w:r>
      <w:r w:rsidR="005608E3" w:rsidRPr="005512D9">
        <w:rPr>
          <w:rFonts w:cstheme="minorHAnsi"/>
          <w:szCs w:val="22"/>
          <w:lang w:eastAsia="x-none"/>
        </w:rPr>
        <w:t xml:space="preserve">remontu </w:t>
      </w:r>
      <w:r w:rsidR="006719DC" w:rsidRPr="005512D9">
        <w:rPr>
          <w:rFonts w:cstheme="minorHAnsi"/>
          <w:szCs w:val="22"/>
          <w:lang w:eastAsia="x-none"/>
        </w:rPr>
        <w:t>schodów w dwóch budynkach</w:t>
      </w:r>
      <w:r w:rsidR="00E63C79">
        <w:rPr>
          <w:rFonts w:cstheme="minorHAnsi"/>
          <w:szCs w:val="22"/>
          <w:lang w:eastAsia="x-none"/>
        </w:rPr>
        <w:t xml:space="preserve">, przy czym jedna z </w:t>
      </w:r>
      <w:r w:rsidR="00E91898">
        <w:rPr>
          <w:rFonts w:cstheme="minorHAnsi"/>
          <w:szCs w:val="22"/>
          <w:lang w:eastAsia="x-none"/>
        </w:rPr>
        <w:t xml:space="preserve">lokalizacji </w:t>
      </w:r>
      <w:r w:rsidR="00E63C79">
        <w:rPr>
          <w:rFonts w:cstheme="minorHAnsi"/>
          <w:szCs w:val="22"/>
          <w:lang w:eastAsia="x-none"/>
        </w:rPr>
        <w:t>stanowi</w:t>
      </w:r>
      <w:r w:rsidR="00E91898">
        <w:rPr>
          <w:rFonts w:cstheme="minorHAnsi"/>
          <w:szCs w:val="22"/>
          <w:lang w:eastAsia="x-none"/>
        </w:rPr>
        <w:t xml:space="preserve"> główną część zamówienia.</w:t>
      </w:r>
      <w:r w:rsidR="0078368D" w:rsidRPr="005512D9">
        <w:rPr>
          <w:rFonts w:cstheme="minorHAnsi"/>
          <w:szCs w:val="22"/>
          <w:lang w:eastAsia="x-none"/>
        </w:rPr>
        <w:t xml:space="preserve"> Połączenie </w:t>
      </w:r>
      <w:r w:rsidR="00072A37">
        <w:rPr>
          <w:rFonts w:cstheme="minorHAnsi"/>
          <w:szCs w:val="22"/>
          <w:lang w:eastAsia="x-none"/>
        </w:rPr>
        <w:t>ich razem</w:t>
      </w:r>
      <w:r w:rsidR="0078368D" w:rsidRPr="005512D9">
        <w:rPr>
          <w:rFonts w:cstheme="minorHAnsi"/>
          <w:szCs w:val="22"/>
          <w:lang w:eastAsia="x-none"/>
        </w:rPr>
        <w:t xml:space="preserve"> </w:t>
      </w:r>
      <w:r w:rsidR="00AA4205" w:rsidRPr="005512D9">
        <w:rPr>
          <w:rFonts w:cstheme="minorHAnsi"/>
          <w:szCs w:val="22"/>
          <w:lang w:eastAsia="x-none"/>
        </w:rPr>
        <w:t>daje większą szansę na</w:t>
      </w:r>
      <w:r w:rsidR="00BD0A59" w:rsidRPr="005512D9">
        <w:rPr>
          <w:rFonts w:cstheme="minorHAnsi"/>
          <w:szCs w:val="22"/>
          <w:lang w:eastAsia="x-none"/>
        </w:rPr>
        <w:t xml:space="preserve"> wyb</w:t>
      </w:r>
      <w:r w:rsidR="00AA4205" w:rsidRPr="005512D9">
        <w:rPr>
          <w:rFonts w:cstheme="minorHAnsi"/>
          <w:szCs w:val="22"/>
          <w:lang w:eastAsia="x-none"/>
        </w:rPr>
        <w:t>ór oferty</w:t>
      </w:r>
      <w:r w:rsidR="0078368D" w:rsidRPr="005512D9">
        <w:rPr>
          <w:rFonts w:cstheme="minorHAnsi"/>
          <w:szCs w:val="22"/>
          <w:lang w:eastAsia="x-none"/>
        </w:rPr>
        <w:t xml:space="preserve"> bardziej korzystnej </w:t>
      </w:r>
      <w:r w:rsidR="0094529E" w:rsidRPr="005512D9">
        <w:rPr>
          <w:rFonts w:cstheme="minorHAnsi"/>
          <w:szCs w:val="22"/>
          <w:lang w:eastAsia="x-none"/>
        </w:rPr>
        <w:t>ekonomicznie. Dodatkowo</w:t>
      </w:r>
      <w:r w:rsidR="00AA4205" w:rsidRPr="005512D9">
        <w:rPr>
          <w:rFonts w:cstheme="minorHAnsi"/>
          <w:szCs w:val="22"/>
          <w:lang w:eastAsia="x-none"/>
        </w:rPr>
        <w:t>,</w:t>
      </w:r>
      <w:r w:rsidR="002F548A" w:rsidRPr="005512D9">
        <w:rPr>
          <w:rFonts w:cstheme="minorHAnsi"/>
          <w:szCs w:val="22"/>
          <w:lang w:eastAsia="x-none"/>
        </w:rPr>
        <w:t xml:space="preserve"> </w:t>
      </w:r>
      <w:r w:rsidR="0094529E" w:rsidRPr="005512D9">
        <w:rPr>
          <w:rFonts w:cstheme="minorHAnsi"/>
          <w:szCs w:val="22"/>
          <w:lang w:eastAsia="x-none"/>
        </w:rPr>
        <w:t>z</w:t>
      </w:r>
      <w:r w:rsidR="00A31EB1" w:rsidRPr="005512D9">
        <w:rPr>
          <w:rFonts w:cstheme="minorHAnsi"/>
          <w:szCs w:val="22"/>
          <w:lang w:eastAsia="x-none"/>
        </w:rPr>
        <w:t>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6005B84A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D3164A">
        <w:rPr>
          <w:rFonts w:cstheme="minorHAnsi"/>
          <w:szCs w:val="22"/>
        </w:rPr>
        <w:t>1</w:t>
      </w:r>
      <w:r w:rsidR="001241E9">
        <w:rPr>
          <w:rFonts w:cstheme="minorHAnsi"/>
          <w:szCs w:val="22"/>
        </w:rPr>
        <w:t>18 157,24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 xml:space="preserve">, polegających na powtórzeniu podobnych robót budowlanych, określonych w dokumentacji zamówienia. Zamówienie takie zostanie udzielone w oparciu o przepisy art. 304-306 Ustawy </w:t>
      </w:r>
      <w:proofErr w:type="spellStart"/>
      <w:r w:rsidRPr="00154BC0">
        <w:rPr>
          <w:rFonts w:cstheme="minorHAnsi"/>
          <w:szCs w:val="22"/>
        </w:rPr>
        <w:t>Pzp</w:t>
      </w:r>
      <w:proofErr w:type="spellEnd"/>
      <w:r w:rsidRPr="00154BC0">
        <w:rPr>
          <w:rFonts w:cstheme="minorHAnsi"/>
          <w:szCs w:val="22"/>
        </w:rPr>
        <w:t>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0B5A8006" w14:textId="4B3681C3" w:rsidR="00F96F93" w:rsidRPr="00AA4205" w:rsidRDefault="00230284" w:rsidP="00AA4205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2E37E980" w14:textId="40CDA746" w:rsidR="006E6452" w:rsidRPr="00154BC0" w:rsidRDefault="00343F4A" w:rsidP="003F459F">
      <w:pPr>
        <w:pStyle w:val="Nagwek7"/>
      </w:pPr>
      <w:r w:rsidRPr="00154BC0">
        <w:t xml:space="preserve">Termin </w:t>
      </w:r>
      <w:r w:rsidR="00AA4205">
        <w:t>w</w:t>
      </w:r>
      <w:r w:rsidRPr="00154BC0">
        <w:t>ykonania zamówienia</w:t>
      </w:r>
    </w:p>
    <w:p w14:paraId="011BCA44" w14:textId="2432E9DF" w:rsidR="00651DEB" w:rsidRPr="000208A6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F25F94">
        <w:rPr>
          <w:rFonts w:cstheme="minorHAnsi"/>
          <w:b/>
          <w:bCs/>
          <w:szCs w:val="22"/>
        </w:rPr>
        <w:t xml:space="preserve">3 miesiące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4F6D1D" w:rsidRPr="000208A6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3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3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4F6D1D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4" w:name="_Hlk60754045"/>
      <w:r w:rsidRPr="00154BC0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46CA2385" w14:textId="64024D8C" w:rsidR="004F6D1D" w:rsidRPr="004F6D1D" w:rsidRDefault="004F6D1D" w:rsidP="004F6D1D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154BC0">
        <w:rPr>
          <w:rFonts w:cstheme="minorHAnsi"/>
          <w:bCs/>
          <w:szCs w:val="22"/>
        </w:rPr>
        <w:t xml:space="preserve">Zamawiający nie określa warunku udziału w postępowaniu, o którym mowa w ust. 5.2 pkt 1 lit. </w:t>
      </w:r>
      <w:r>
        <w:rPr>
          <w:rFonts w:cstheme="minorHAnsi"/>
          <w:bCs/>
          <w:szCs w:val="22"/>
        </w:rPr>
        <w:t>c</w:t>
      </w:r>
      <w:r w:rsidRPr="00154BC0">
        <w:rPr>
          <w:rFonts w:cstheme="minorHAnsi"/>
          <w:bCs/>
          <w:szCs w:val="22"/>
        </w:rPr>
        <w:t>) SWZ.</w:t>
      </w:r>
    </w:p>
    <w:p w14:paraId="6E221D63" w14:textId="730BE006" w:rsidR="004A62F2" w:rsidRPr="00154BC0" w:rsidRDefault="00361CB9" w:rsidP="00154BC0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cstheme="minorHAnsi"/>
          <w:bCs/>
          <w:szCs w:val="22"/>
        </w:rPr>
      </w:pPr>
      <w:bookmarkStart w:id="5" w:name="_Hlk535480873"/>
      <w:bookmarkEnd w:id="4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5"/>
      <w:r w:rsidRPr="00154BC0">
        <w:rPr>
          <w:rFonts w:cstheme="minorHAnsi"/>
          <w:bCs/>
          <w:szCs w:val="22"/>
        </w:rPr>
        <w:t>, jeżeli Wykonawca wykaże, że:</w:t>
      </w:r>
    </w:p>
    <w:p w14:paraId="621080CB" w14:textId="3C1B3362" w:rsidR="00197692" w:rsidRPr="00154BC0" w:rsidRDefault="003D5437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0A3814">
        <w:rPr>
          <w:rFonts w:cstheme="minorHAnsi"/>
          <w:b/>
          <w:szCs w:val="22"/>
        </w:rPr>
        <w:t xml:space="preserve">na remoncie, </w:t>
      </w:r>
      <w:r w:rsidR="000A3814" w:rsidRPr="00C72003">
        <w:rPr>
          <w:rFonts w:cstheme="minorHAnsi"/>
          <w:b/>
          <w:szCs w:val="22"/>
        </w:rPr>
        <w:t>budowie lub przebudowie</w:t>
      </w:r>
      <w:r w:rsidR="00A07B85" w:rsidRPr="00C72003">
        <w:rPr>
          <w:rFonts w:cstheme="minorHAnsi"/>
          <w:b/>
          <w:szCs w:val="22"/>
        </w:rPr>
        <w:t xml:space="preserve"> schodów zewnętrznych </w:t>
      </w:r>
      <w:r w:rsidR="00C72003" w:rsidRPr="00C72003">
        <w:rPr>
          <w:rFonts w:cstheme="minorHAnsi"/>
          <w:b/>
          <w:szCs w:val="22"/>
        </w:rPr>
        <w:t>o wartości</w:t>
      </w:r>
      <w:r w:rsidR="00197692" w:rsidRPr="00C72003">
        <w:rPr>
          <w:rFonts w:cstheme="minorHAnsi"/>
          <w:b/>
          <w:szCs w:val="22"/>
        </w:rPr>
        <w:t xml:space="preserve"> </w:t>
      </w:r>
      <w:r w:rsidR="00AF4BB8" w:rsidRPr="00C72003">
        <w:rPr>
          <w:rFonts w:cstheme="minorHAnsi"/>
          <w:b/>
          <w:szCs w:val="22"/>
        </w:rPr>
        <w:t xml:space="preserve">co najmniej </w:t>
      </w:r>
      <w:r w:rsidR="00C72003" w:rsidRPr="00C72003">
        <w:rPr>
          <w:rFonts w:cstheme="minorHAnsi"/>
          <w:b/>
          <w:szCs w:val="22"/>
        </w:rPr>
        <w:t>8</w:t>
      </w:r>
      <w:r w:rsidR="000A3814" w:rsidRPr="00C72003">
        <w:rPr>
          <w:rFonts w:cstheme="minorHAnsi"/>
          <w:b/>
          <w:szCs w:val="22"/>
        </w:rPr>
        <w:t>0</w:t>
      </w:r>
      <w:r w:rsidR="00197692" w:rsidRPr="00C72003">
        <w:rPr>
          <w:rFonts w:cstheme="minorHAnsi"/>
          <w:b/>
          <w:szCs w:val="22"/>
        </w:rPr>
        <w:t>.000,00</w:t>
      </w:r>
      <w:r w:rsidR="00197692" w:rsidRPr="00AF4BB8">
        <w:rPr>
          <w:rFonts w:cstheme="minorHAnsi"/>
          <w:b/>
          <w:szCs w:val="22"/>
        </w:rPr>
        <w:t xml:space="preserve"> zł</w:t>
      </w:r>
      <w:r w:rsidR="00BB5DA8" w:rsidRPr="00AF4BB8">
        <w:rPr>
          <w:rFonts w:cstheme="minorHAnsi"/>
          <w:b/>
          <w:szCs w:val="22"/>
        </w:rPr>
        <w:t xml:space="preserve"> brutto</w:t>
      </w:r>
      <w:r w:rsidR="00197692" w:rsidRPr="00AF4BB8">
        <w:rPr>
          <w:rFonts w:cstheme="minorHAnsi"/>
          <w:b/>
          <w:szCs w:val="22"/>
        </w:rPr>
        <w:t>,</w:t>
      </w:r>
    </w:p>
    <w:p w14:paraId="08D44D6D" w14:textId="7781A020" w:rsidR="009E7369" w:rsidRPr="00154BC0" w:rsidRDefault="0099227C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co potwierdzi przedstawiając dowody określające, czy </w:t>
      </w:r>
      <w:r w:rsidR="00CE520F" w:rsidRPr="00154BC0">
        <w:rPr>
          <w:rFonts w:cstheme="minorHAnsi"/>
          <w:szCs w:val="22"/>
        </w:rPr>
        <w:t xml:space="preserve">roboty </w:t>
      </w:r>
      <w:r w:rsidR="009E7369" w:rsidRPr="00154BC0">
        <w:rPr>
          <w:rFonts w:cstheme="minorHAnsi"/>
          <w:szCs w:val="22"/>
        </w:rPr>
        <w:t>zostały wykonane w sposób należyty.</w:t>
      </w:r>
    </w:p>
    <w:p w14:paraId="12276B73" w14:textId="2136B592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 xml:space="preserve">wyrażona będzie w walucie innej niż PLN, Zamawiający do oceny spełnienia warunku przez danego Wykonawcę </w:t>
      </w:r>
      <w:r w:rsidR="00B068A3">
        <w:rPr>
          <w:rFonts w:cstheme="minorHAnsi"/>
          <w:i/>
          <w:sz w:val="22"/>
          <w:szCs w:val="22"/>
        </w:rPr>
        <w:t>p</w:t>
      </w:r>
      <w:r w:rsidRPr="00154BC0">
        <w:rPr>
          <w:rFonts w:cstheme="minorHAnsi"/>
          <w:i/>
          <w:sz w:val="22"/>
          <w:szCs w:val="22"/>
        </w:rPr>
        <w:t>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6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7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12FE6FF5" w14:textId="577CFBC8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 </w:t>
      </w:r>
      <w:r w:rsidR="00195CBC" w:rsidRPr="00154BC0">
        <w:rPr>
          <w:rFonts w:cstheme="minorHAnsi"/>
          <w:sz w:val="22"/>
          <w:szCs w:val="22"/>
        </w:rPr>
        <w:t xml:space="preserve">a także </w:t>
      </w:r>
      <w:r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9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9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10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10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 xml:space="preserve">Z postępowania o udzielenie zamówienia publicznego lub konkursu prowadzonego na podstawie ustawy </w:t>
      </w:r>
      <w:proofErr w:type="spellStart"/>
      <w:r w:rsidRPr="00154BC0">
        <w:rPr>
          <w:rFonts w:cstheme="minorHAnsi"/>
          <w:b/>
          <w:bCs/>
          <w:iCs/>
          <w:szCs w:val="22"/>
        </w:rPr>
        <w:t>Pzp</w:t>
      </w:r>
      <w:proofErr w:type="spellEnd"/>
      <w:r w:rsidRPr="00154BC0">
        <w:rPr>
          <w:rFonts w:cstheme="minorHAnsi"/>
          <w:b/>
          <w:bCs/>
          <w:iCs/>
          <w:szCs w:val="22"/>
        </w:rPr>
        <w:t>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1" w:name="_Hlk60759807"/>
      <w:r w:rsidR="003E6D54" w:rsidRPr="00154BC0">
        <w:t>podmiotowych środków dowodowych</w:t>
      </w:r>
      <w:bookmarkEnd w:id="11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bookmarkStart w:id="12" w:name="_Hlk263448"/>
      <w:r w:rsidRPr="00154BC0">
        <w:rPr>
          <w:rFonts w:cstheme="minorHAnsi"/>
          <w:sz w:val="22"/>
          <w:szCs w:val="22"/>
        </w:rPr>
        <w:t xml:space="preserve">W </w:t>
      </w:r>
      <w:bookmarkStart w:id="13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3"/>
    </w:p>
    <w:p w14:paraId="05B7BC93" w14:textId="0FD5EFA5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4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5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4"/>
    <w:bookmarkEnd w:id="15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6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6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7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2"/>
      <w:bookmarkEnd w:id="17"/>
    </w:p>
    <w:p w14:paraId="57B85A43" w14:textId="569C6148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8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a)SWZ.</w:t>
      </w:r>
    </w:p>
    <w:p w14:paraId="15F02102" w14:textId="49E0B90B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8"/>
    </w:p>
    <w:p w14:paraId="7B14E70B" w14:textId="6B5A956B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</w:t>
      </w:r>
      <w:r w:rsidR="007E381D">
        <w:rPr>
          <w:rFonts w:cstheme="minorHAnsi"/>
          <w:color w:val="000000"/>
          <w:sz w:val="22"/>
          <w:szCs w:val="22"/>
        </w:rPr>
        <w:t xml:space="preserve">  </w:t>
      </w:r>
      <w:r w:rsidRPr="00154BC0">
        <w:rPr>
          <w:rFonts w:cstheme="minorHAnsi"/>
          <w:color w:val="000000"/>
          <w:sz w:val="22"/>
          <w:szCs w:val="22"/>
        </w:rPr>
        <w:t xml:space="preserve"> ust. 2 </w:t>
      </w:r>
      <w:proofErr w:type="spellStart"/>
      <w:r w:rsidRPr="00154BC0">
        <w:rPr>
          <w:rFonts w:cstheme="minorHAnsi"/>
          <w:color w:val="000000"/>
          <w:sz w:val="22"/>
          <w:szCs w:val="22"/>
        </w:rPr>
        <w:t>Pzp</w:t>
      </w:r>
      <w:proofErr w:type="spellEnd"/>
      <w:r w:rsidRPr="00154BC0">
        <w:rPr>
          <w:rFonts w:cstheme="minorHAnsi"/>
          <w:color w:val="000000"/>
          <w:sz w:val="22"/>
          <w:szCs w:val="22"/>
        </w:rPr>
        <w:t xml:space="preserve">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19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19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20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20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1" w:name="_Hlk60766779"/>
      <w:r w:rsidRPr="00154BC0">
        <w:t>Informacja o przedmiotowych środkach dowodowych</w:t>
      </w:r>
      <w:bookmarkEnd w:id="21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2" w:name="_Hlk60773220"/>
      <w:r w:rsidR="00DE3E5A" w:rsidRPr="00154BC0">
        <w:t>podmiotowych i przedmiotowych środków dowodowych</w:t>
      </w:r>
      <w:bookmarkEnd w:id="22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3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4" w:name="_Hlk68176146"/>
      <w:r w:rsidRPr="00154BC0">
        <w:rPr>
          <w:rFonts w:cstheme="minorHAnsi"/>
          <w:szCs w:val="22"/>
        </w:rPr>
        <w:t>przy użyciu środków komunikacji elektronicznej</w:t>
      </w:r>
      <w:bookmarkEnd w:id="24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Stały dostęp do sieci Internet o gwarantowanej przepustowości nie mniejszej niż 512 </w:t>
      </w:r>
      <w:proofErr w:type="spellStart"/>
      <w:r w:rsidRPr="00154BC0">
        <w:rPr>
          <w:rFonts w:cstheme="minorHAnsi"/>
          <w:szCs w:val="22"/>
        </w:rPr>
        <w:t>kb</w:t>
      </w:r>
      <w:proofErr w:type="spellEnd"/>
      <w:r w:rsidRPr="00154BC0">
        <w:rPr>
          <w:rFonts w:cstheme="minorHAnsi"/>
          <w:szCs w:val="22"/>
        </w:rPr>
        <w:t>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Zainstalowany program Adobe </w:t>
      </w:r>
      <w:proofErr w:type="spellStart"/>
      <w:r w:rsidRPr="00154BC0">
        <w:rPr>
          <w:rFonts w:cstheme="minorHAnsi"/>
          <w:szCs w:val="22"/>
        </w:rPr>
        <w:t>Acrobat</w:t>
      </w:r>
      <w:proofErr w:type="spellEnd"/>
      <w:r w:rsidRPr="00154BC0">
        <w:rPr>
          <w:rFonts w:cstheme="minorHAnsi"/>
          <w:szCs w:val="22"/>
        </w:rPr>
        <w:t xml:space="preserve">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</w:t>
      </w:r>
      <w:proofErr w:type="spellStart"/>
      <w:r w:rsidRPr="00154BC0">
        <w:rPr>
          <w:rFonts w:cstheme="minorHAnsi"/>
          <w:szCs w:val="22"/>
        </w:rPr>
        <w:t>hh:mm:ss</w:t>
      </w:r>
      <w:proofErr w:type="spellEnd"/>
      <w:r w:rsidRPr="00154BC0">
        <w:rPr>
          <w:rFonts w:cstheme="minorHAnsi"/>
          <w:szCs w:val="22"/>
        </w:rPr>
        <w:t>) generowany wg. czasu lokalnego serwera synchronizowanego z zegarem Głównego Urzędu Miar.</w:t>
      </w:r>
    </w:p>
    <w:p w14:paraId="6339BE20" w14:textId="77777777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xps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odp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xlsx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csv</w:t>
      </w:r>
      <w:proofErr w:type="spellEnd"/>
      <w:r w:rsidRPr="00154BC0">
        <w:rPr>
          <w:rFonts w:cstheme="minorHAnsi"/>
          <w:szCs w:val="22"/>
        </w:rPr>
        <w:t xml:space="preserve">, jpg, </w:t>
      </w:r>
      <w:proofErr w:type="spellStart"/>
      <w:r w:rsidRPr="00154BC0">
        <w:rPr>
          <w:rFonts w:cstheme="minorHAnsi"/>
          <w:szCs w:val="22"/>
        </w:rPr>
        <w:t>jpeg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geotiff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svg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wav</w:t>
      </w:r>
      <w:proofErr w:type="spellEnd"/>
      <w:r w:rsidRPr="00154BC0">
        <w:rPr>
          <w:rFonts w:cstheme="minorHAnsi"/>
          <w:szCs w:val="22"/>
        </w:rPr>
        <w:t xml:space="preserve">, mp3, </w:t>
      </w:r>
      <w:proofErr w:type="spellStart"/>
      <w:r w:rsidRPr="00154BC0">
        <w:rPr>
          <w:rFonts w:cstheme="minorHAnsi"/>
          <w:szCs w:val="22"/>
        </w:rPr>
        <w:t>avi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mpeg</w:t>
      </w:r>
      <w:proofErr w:type="spellEnd"/>
      <w:r w:rsidRPr="00154BC0">
        <w:rPr>
          <w:rFonts w:cstheme="minorHAnsi"/>
          <w:szCs w:val="22"/>
        </w:rPr>
        <w:t xml:space="preserve">, mp4, m4a, mpeg4, </w:t>
      </w:r>
      <w:proofErr w:type="spellStart"/>
      <w:r w:rsidRPr="00154BC0">
        <w:rPr>
          <w:rFonts w:cstheme="minorHAnsi"/>
          <w:szCs w:val="22"/>
        </w:rPr>
        <w:t>ogg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ogv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</w:t>
      </w:r>
      <w:proofErr w:type="spellStart"/>
      <w:r w:rsidRPr="00154BC0">
        <w:rPr>
          <w:rFonts w:cstheme="minorHAnsi"/>
          <w:szCs w:val="22"/>
        </w:rPr>
        <w:t>gz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gzip</w:t>
      </w:r>
      <w:proofErr w:type="spellEnd"/>
      <w:r w:rsidRPr="00154BC0">
        <w:rPr>
          <w:rFonts w:cstheme="minorHAnsi"/>
          <w:szCs w:val="22"/>
        </w:rPr>
        <w:t xml:space="preserve">, 7z, </w:t>
      </w:r>
      <w:proofErr w:type="spellStart"/>
      <w:r w:rsidRPr="00154BC0">
        <w:rPr>
          <w:rFonts w:cstheme="minorHAnsi"/>
          <w:szCs w:val="22"/>
        </w:rPr>
        <w:t>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xsd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rng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xslt</w:t>
      </w:r>
      <w:proofErr w:type="spellEnd"/>
      <w:r w:rsidRPr="00154BC0">
        <w:rPr>
          <w:rFonts w:cstheme="minorHAnsi"/>
          <w:szCs w:val="22"/>
        </w:rPr>
        <w:t xml:space="preserve">, TSL, </w:t>
      </w:r>
      <w:proofErr w:type="spellStart"/>
      <w:r w:rsidRPr="00154BC0">
        <w:rPr>
          <w:rFonts w:cstheme="minorHAnsi"/>
          <w:szCs w:val="22"/>
        </w:rPr>
        <w:t>XMLsig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CAdES</w:t>
      </w:r>
      <w:proofErr w:type="spellEnd"/>
      <w:r w:rsidRPr="00154BC0">
        <w:rPr>
          <w:rFonts w:cstheme="minorHAnsi"/>
          <w:szCs w:val="22"/>
        </w:rPr>
        <w:t xml:space="preserve">, ASIC, </w:t>
      </w:r>
      <w:proofErr w:type="spellStart"/>
      <w:r w:rsidRPr="00154BC0">
        <w:rPr>
          <w:rFonts w:cstheme="minorHAnsi"/>
          <w:szCs w:val="22"/>
        </w:rPr>
        <w:t>XMLenc</w:t>
      </w:r>
      <w:proofErr w:type="spellEnd"/>
      <w:r w:rsidRPr="00154BC0">
        <w:rPr>
          <w:rFonts w:cstheme="minorHAnsi"/>
          <w:szCs w:val="22"/>
        </w:rPr>
        <w:t xml:space="preserve">. </w:t>
      </w:r>
    </w:p>
    <w:p w14:paraId="682884C8" w14:textId="05E1A928" w:rsidR="00754B81" w:rsidRPr="00154BC0" w:rsidRDefault="00754B81" w:rsidP="00154BC0">
      <w:pPr>
        <w:pStyle w:val="Akapitzlist"/>
        <w:ind w:left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Wśród formatów powszechnych a </w:t>
      </w:r>
      <w:r w:rsidR="00F4471F" w:rsidRPr="00154BC0">
        <w:rPr>
          <w:rFonts w:cstheme="minorHAnsi"/>
          <w:b/>
          <w:szCs w:val="22"/>
          <w:lang w:val="pl"/>
        </w:rPr>
        <w:t>nie</w:t>
      </w:r>
      <w:r w:rsidRPr="00154BC0">
        <w:rPr>
          <w:rFonts w:cstheme="minorHAnsi"/>
          <w:b/>
          <w:szCs w:val="22"/>
          <w:lang w:val="pl"/>
        </w:rPr>
        <w:t>występujących</w:t>
      </w:r>
      <w:r w:rsidRPr="00154BC0">
        <w:rPr>
          <w:rFonts w:cstheme="minorHAnsi"/>
          <w:szCs w:val="22"/>
          <w:lang w:val="pl"/>
        </w:rPr>
        <w:t xml:space="preserve"> w rozporządzeniu występują: .</w:t>
      </w:r>
      <w:proofErr w:type="spellStart"/>
      <w:r w:rsidRPr="00154BC0">
        <w:rPr>
          <w:rFonts w:cstheme="minorHAnsi"/>
          <w:szCs w:val="22"/>
          <w:lang w:val="pl"/>
        </w:rPr>
        <w:t>rar</w:t>
      </w:r>
      <w:proofErr w:type="spellEnd"/>
      <w:r w:rsidRPr="00154BC0">
        <w:rPr>
          <w:rFonts w:cstheme="minorHAnsi"/>
          <w:szCs w:val="22"/>
          <w:lang w:val="pl"/>
        </w:rPr>
        <w:t xml:space="preserve"> .gif .</w:t>
      </w:r>
      <w:proofErr w:type="spellStart"/>
      <w:r w:rsidRPr="00154BC0">
        <w:rPr>
          <w:rFonts w:cstheme="minorHAnsi"/>
          <w:szCs w:val="22"/>
          <w:lang w:val="pl"/>
        </w:rPr>
        <w:t>bmp</w:t>
      </w:r>
      <w:proofErr w:type="spellEnd"/>
      <w:r w:rsidRPr="00154BC0">
        <w:rPr>
          <w:rFonts w:cstheme="minorHAnsi"/>
          <w:szCs w:val="22"/>
          <w:lang w:val="pl"/>
        </w:rPr>
        <w:t xml:space="preserve"> .</w:t>
      </w:r>
      <w:proofErr w:type="spellStart"/>
      <w:r w:rsidRPr="00154BC0">
        <w:rPr>
          <w:rFonts w:cstheme="minorHAnsi"/>
          <w:szCs w:val="22"/>
          <w:lang w:val="pl"/>
        </w:rPr>
        <w:t>numbers</w:t>
      </w:r>
      <w:proofErr w:type="spellEnd"/>
      <w:r w:rsidRPr="00154BC0">
        <w:rPr>
          <w:rFonts w:cstheme="minorHAnsi"/>
          <w:szCs w:val="22"/>
          <w:lang w:val="pl"/>
        </w:rPr>
        <w:t xml:space="preserve"> .</w:t>
      </w:r>
      <w:proofErr w:type="spellStart"/>
      <w:r w:rsidRPr="00154BC0">
        <w:rPr>
          <w:rFonts w:cstheme="minorHAnsi"/>
          <w:szCs w:val="22"/>
          <w:lang w:val="pl"/>
        </w:rPr>
        <w:t>pages</w:t>
      </w:r>
      <w:proofErr w:type="spellEnd"/>
      <w:r w:rsidRPr="00154BC0">
        <w:rPr>
          <w:rFonts w:cstheme="minorHAnsi"/>
          <w:szCs w:val="22"/>
          <w:lang w:val="pl"/>
        </w:rPr>
        <w:t xml:space="preserve">. </w:t>
      </w:r>
      <w:r w:rsidRPr="00154BC0">
        <w:rPr>
          <w:rFonts w:cstheme="minorHAnsi"/>
          <w:b/>
          <w:szCs w:val="22"/>
          <w:lang w:val="pl"/>
        </w:rPr>
        <w:t xml:space="preserve">Dokumenty złożone w takich </w:t>
      </w:r>
      <w:r w:rsidR="00EA4E4F" w:rsidRPr="00154BC0">
        <w:rPr>
          <w:rFonts w:cstheme="minorHAnsi"/>
          <w:b/>
          <w:szCs w:val="22"/>
          <w:lang w:val="pl"/>
        </w:rPr>
        <w:t>formatach</w:t>
      </w:r>
      <w:r w:rsidRPr="00154BC0">
        <w:rPr>
          <w:rFonts w:cstheme="minorHAnsi"/>
          <w:b/>
          <w:szCs w:val="22"/>
          <w:lang w:val="pl"/>
        </w:rPr>
        <w:t xml:space="preserve"> zostaną uznane za złożone nieskutecznie.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</w:t>
      </w:r>
      <w:proofErr w:type="spellStart"/>
      <w:r w:rsidR="006F25F1" w:rsidRPr="00154BC0">
        <w:rPr>
          <w:rFonts w:eastAsia="Calibri" w:cstheme="minorHAnsi"/>
          <w:bCs/>
          <w:szCs w:val="22"/>
          <w:lang w:val="pl"/>
        </w:rPr>
        <w:t>Pzp</w:t>
      </w:r>
      <w:proofErr w:type="spellEnd"/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000000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>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154BC0">
        <w:rPr>
          <w:rFonts w:cstheme="minorHAnsi"/>
          <w:szCs w:val="22"/>
          <w:lang w:val="pl"/>
        </w:rPr>
        <w:t>eDoApp</w:t>
      </w:r>
      <w:proofErr w:type="spellEnd"/>
      <w:r w:rsidRPr="00154BC0">
        <w:rPr>
          <w:rFonts w:cstheme="minorHAnsi"/>
          <w:szCs w:val="22"/>
          <w:lang w:val="pl"/>
        </w:rPr>
        <w:t xml:space="preserve">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82B15F4" w14:textId="0E24C22B" w:rsidR="356DF2A2" w:rsidRPr="00B2752A" w:rsidRDefault="00A05D70" w:rsidP="00B2752A">
      <w:pPr>
        <w:pStyle w:val="Akapitzlist"/>
        <w:ind w:left="720"/>
        <w:rPr>
          <w:rFonts w:cstheme="minorHAnsi"/>
          <w:szCs w:val="22"/>
          <w:lang w:val="en-US"/>
        </w:rPr>
      </w:pPr>
      <w:r w:rsidRPr="356DF2A2">
        <w:rPr>
          <w:rFonts w:cstheme="minorBidi"/>
          <w:lang w:val="en-US"/>
        </w:rPr>
        <w:t>t</w:t>
      </w:r>
      <w:r w:rsidR="00754B81" w:rsidRPr="356DF2A2">
        <w:rPr>
          <w:rFonts w:cstheme="minorBidi"/>
          <w:lang w:val="en-US"/>
        </w:rPr>
        <w:t>e</w:t>
      </w:r>
      <w:r w:rsidRPr="356DF2A2">
        <w:rPr>
          <w:rFonts w:cstheme="minorBidi"/>
          <w:lang w:val="en-US"/>
        </w:rPr>
        <w:t>l. 42 272 59 46</w:t>
      </w:r>
      <w:r w:rsidR="00754B81" w:rsidRPr="356DF2A2">
        <w:rPr>
          <w:rFonts w:cstheme="minorBidi"/>
          <w:lang w:val="en-US"/>
        </w:rPr>
        <w:t xml:space="preserve">, </w:t>
      </w:r>
      <w:r w:rsidR="0002610C" w:rsidRPr="356DF2A2">
        <w:rPr>
          <w:rFonts w:cstheme="minorBidi"/>
          <w:lang w:val="en-US"/>
        </w:rPr>
        <w:t>mail</w:t>
      </w:r>
      <w:r w:rsidRPr="356DF2A2">
        <w:rPr>
          <w:rFonts w:cstheme="minorBidi"/>
          <w:lang w:val="en-US"/>
        </w:rPr>
        <w:t xml:space="preserve"> jaroslaw.wyszomirski</w:t>
      </w:r>
      <w:r w:rsidR="00754B81" w:rsidRPr="356DF2A2">
        <w:rPr>
          <w:rFonts w:cstheme="minorBidi"/>
          <w:lang w:val="en-US"/>
        </w:rPr>
        <w:t>@umed.lodz.pl</w:t>
      </w:r>
      <w:bookmarkEnd w:id="23"/>
    </w:p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75701692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ED6F94">
        <w:rPr>
          <w:rFonts w:cstheme="minorHAnsi"/>
          <w:b/>
          <w:iCs/>
          <w:sz w:val="22"/>
          <w:szCs w:val="22"/>
        </w:rPr>
        <w:t>2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0EAD0F61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ED6F94">
        <w:rPr>
          <w:rFonts w:cstheme="minorHAnsi"/>
          <w:b/>
          <w:iCs/>
          <w:sz w:val="22"/>
          <w:szCs w:val="22"/>
        </w:rPr>
        <w:t>31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DC5193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4F6D1D">
        <w:rPr>
          <w:rFonts w:cstheme="minorHAnsi"/>
          <w:b/>
          <w:bCs/>
          <w:iCs/>
          <w:sz w:val="22"/>
          <w:szCs w:val="22"/>
        </w:rPr>
        <w:t>Remont</w:t>
      </w:r>
      <w:r w:rsidR="00DC5193">
        <w:rPr>
          <w:rFonts w:cstheme="minorHAnsi"/>
          <w:b/>
          <w:bCs/>
          <w:iCs/>
          <w:sz w:val="22"/>
          <w:szCs w:val="22"/>
        </w:rPr>
        <w:t xml:space="preserve"> </w:t>
      </w:r>
      <w:r w:rsidR="00ED6F94">
        <w:rPr>
          <w:rFonts w:cstheme="minorHAnsi"/>
          <w:b/>
          <w:bCs/>
          <w:iCs/>
          <w:sz w:val="22"/>
          <w:szCs w:val="22"/>
        </w:rPr>
        <w:t>schodów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5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 xml:space="preserve">, </w:t>
      </w:r>
      <w:bookmarkEnd w:id="25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051283BB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307 ust. 1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8E1957">
        <w:rPr>
          <w:rFonts w:cstheme="minorHAnsi"/>
          <w:b/>
          <w:bCs/>
          <w:sz w:val="22"/>
          <w:szCs w:val="22"/>
        </w:rPr>
        <w:t>ofertą</w:t>
      </w:r>
      <w:r w:rsidR="00E03349" w:rsidRPr="008E1957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8E1957">
        <w:rPr>
          <w:rFonts w:cstheme="minorHAnsi"/>
          <w:b/>
          <w:bCs/>
          <w:sz w:val="22"/>
          <w:szCs w:val="22"/>
        </w:rPr>
        <w:t xml:space="preserve"> </w:t>
      </w:r>
      <w:r w:rsidR="008E2061">
        <w:rPr>
          <w:rFonts w:cstheme="minorHAnsi"/>
          <w:b/>
          <w:bCs/>
          <w:sz w:val="22"/>
          <w:szCs w:val="22"/>
        </w:rPr>
        <w:t>0</w:t>
      </w:r>
      <w:r w:rsidR="00667AE1">
        <w:rPr>
          <w:rFonts w:cstheme="minorHAnsi"/>
          <w:b/>
          <w:bCs/>
          <w:sz w:val="22"/>
          <w:szCs w:val="22"/>
        </w:rPr>
        <w:t>7</w:t>
      </w:r>
      <w:r w:rsidR="00647952" w:rsidRPr="008E1957">
        <w:rPr>
          <w:rFonts w:cstheme="minorHAnsi"/>
          <w:b/>
          <w:bCs/>
          <w:sz w:val="22"/>
          <w:szCs w:val="22"/>
        </w:rPr>
        <w:t>.</w:t>
      </w:r>
      <w:r w:rsidR="008E2061">
        <w:rPr>
          <w:rFonts w:cstheme="minorHAnsi"/>
          <w:b/>
          <w:bCs/>
          <w:sz w:val="22"/>
          <w:szCs w:val="22"/>
        </w:rPr>
        <w:t>0</w:t>
      </w:r>
      <w:r w:rsidR="00EA4BBB">
        <w:rPr>
          <w:rFonts w:cstheme="minorHAnsi"/>
          <w:b/>
          <w:bCs/>
          <w:sz w:val="22"/>
          <w:szCs w:val="22"/>
        </w:rPr>
        <w:t>6</w:t>
      </w:r>
      <w:r w:rsidR="00647952" w:rsidRPr="008E1957">
        <w:rPr>
          <w:rFonts w:cstheme="minorHAnsi"/>
          <w:b/>
          <w:bCs/>
          <w:sz w:val="22"/>
          <w:szCs w:val="22"/>
        </w:rPr>
        <w:t>.202</w:t>
      </w:r>
      <w:r w:rsidR="008E2061">
        <w:rPr>
          <w:rFonts w:cstheme="minorHAnsi"/>
          <w:b/>
          <w:bCs/>
          <w:sz w:val="22"/>
          <w:szCs w:val="22"/>
        </w:rPr>
        <w:t xml:space="preserve">4 </w:t>
      </w:r>
      <w:r w:rsidR="00647952" w:rsidRPr="008E1957">
        <w:rPr>
          <w:rFonts w:cstheme="minorHAnsi"/>
          <w:b/>
          <w:bCs/>
          <w:sz w:val="22"/>
          <w:szCs w:val="22"/>
        </w:rPr>
        <w:t>r.</w:t>
      </w:r>
      <w:r w:rsidRPr="008E1957">
        <w:rPr>
          <w:rFonts w:cstheme="minorHAnsi"/>
          <w:b/>
          <w:bCs/>
          <w:sz w:val="22"/>
          <w:szCs w:val="22"/>
        </w:rPr>
        <w:t>,</w:t>
      </w:r>
      <w:r w:rsidRPr="00BB11E5">
        <w:rPr>
          <w:rFonts w:cstheme="minorHAnsi"/>
          <w:sz w:val="22"/>
          <w:szCs w:val="22"/>
        </w:rPr>
        <w:t xml:space="preserve"> </w:t>
      </w:r>
      <w:r w:rsidRPr="003A4B27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 xml:space="preserve">12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A502DE8" w14:textId="69879926" w:rsidR="0067787A" w:rsidRPr="00154BC0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</w:t>
      </w:r>
      <w:r w:rsidR="001122A2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ofertow</w:t>
      </w:r>
      <w:r w:rsidR="001122A2">
        <w:rPr>
          <w:rFonts w:cstheme="minorHAnsi"/>
          <w:b/>
          <w:szCs w:val="22"/>
        </w:rPr>
        <w:t>e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</w:t>
      </w:r>
      <w:r w:rsidR="001122A2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nakładcz</w:t>
      </w:r>
      <w:r w:rsidR="001122A2">
        <w:rPr>
          <w:rFonts w:cstheme="minorHAnsi"/>
          <w:b/>
          <w:szCs w:val="22"/>
        </w:rPr>
        <w:t>e</w:t>
      </w:r>
      <w:r w:rsidR="00AF4BB8">
        <w:rPr>
          <w:rFonts w:cstheme="minorHAnsi"/>
          <w:b/>
          <w:szCs w:val="22"/>
        </w:rPr>
        <w:t xml:space="preserve"> </w:t>
      </w:r>
      <w:r w:rsidRPr="00154BC0">
        <w:rPr>
          <w:rFonts w:cstheme="minorHAnsi"/>
          <w:b/>
          <w:szCs w:val="22"/>
        </w:rPr>
        <w:t>- załącznik</w:t>
      </w:r>
      <w:r w:rsidR="001122A2">
        <w:rPr>
          <w:rFonts w:cstheme="minorHAnsi"/>
          <w:b/>
          <w:szCs w:val="22"/>
        </w:rPr>
        <w:t>i</w:t>
      </w:r>
      <w:r w:rsidRPr="00154BC0">
        <w:rPr>
          <w:rFonts w:cstheme="minorHAnsi"/>
          <w:b/>
          <w:szCs w:val="22"/>
        </w:rPr>
        <w:t xml:space="preserve"> nr 2</w:t>
      </w:r>
      <w:r w:rsidR="00AB2881" w:rsidRPr="00154BC0">
        <w:rPr>
          <w:rFonts w:cstheme="minorHAnsi"/>
          <w:b/>
          <w:szCs w:val="22"/>
        </w:rPr>
        <w:t>.</w:t>
      </w:r>
      <w:r w:rsidR="001122A2">
        <w:rPr>
          <w:rFonts w:cstheme="minorHAnsi"/>
          <w:b/>
          <w:szCs w:val="22"/>
        </w:rPr>
        <w:t>1 oraz 2.2.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6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7" w:name="_Hlk128573157"/>
      <w:bookmarkEnd w:id="26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7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8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8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1E3E07D" w14:textId="16BD571F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zgodnie z art. 18 w zw. z art. 74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>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 xml:space="preserve">art. 222 ust. 5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58D83D82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do dnia </w:t>
      </w:r>
      <w:r w:rsidR="00CC323F">
        <w:rPr>
          <w:rFonts w:cstheme="minorHAnsi"/>
          <w:b/>
          <w:bCs/>
          <w:sz w:val="22"/>
          <w:szCs w:val="22"/>
        </w:rPr>
        <w:t>0</w:t>
      </w:r>
      <w:r w:rsidR="00CD4C3F">
        <w:rPr>
          <w:rFonts w:cstheme="minorHAnsi"/>
          <w:b/>
          <w:bCs/>
          <w:sz w:val="22"/>
          <w:szCs w:val="22"/>
        </w:rPr>
        <w:t>9</w:t>
      </w:r>
      <w:r w:rsidR="008E5A7E" w:rsidRPr="00BB11E5">
        <w:rPr>
          <w:rFonts w:cstheme="minorHAnsi"/>
          <w:b/>
          <w:bCs/>
          <w:sz w:val="22"/>
          <w:szCs w:val="22"/>
        </w:rPr>
        <w:t>.</w:t>
      </w:r>
      <w:r w:rsidR="008E2061">
        <w:rPr>
          <w:rFonts w:cstheme="minorHAnsi"/>
          <w:b/>
          <w:bCs/>
          <w:sz w:val="22"/>
          <w:szCs w:val="22"/>
        </w:rPr>
        <w:t>0</w:t>
      </w:r>
      <w:r w:rsidR="00EA4BBB">
        <w:rPr>
          <w:rFonts w:cstheme="minorHAnsi"/>
          <w:b/>
          <w:bCs/>
          <w:sz w:val="22"/>
          <w:szCs w:val="22"/>
        </w:rPr>
        <w:t>5</w:t>
      </w:r>
      <w:r w:rsidR="008E5A7E" w:rsidRPr="00BB11E5">
        <w:rPr>
          <w:rFonts w:cstheme="minorHAnsi"/>
          <w:b/>
          <w:bCs/>
          <w:sz w:val="22"/>
          <w:szCs w:val="22"/>
        </w:rPr>
        <w:t>.202</w:t>
      </w:r>
      <w:r w:rsidR="008E2061">
        <w:rPr>
          <w:rFonts w:cstheme="minorHAnsi"/>
          <w:b/>
          <w:bCs/>
          <w:sz w:val="22"/>
          <w:szCs w:val="22"/>
        </w:rPr>
        <w:t>4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 r. </w:t>
      </w:r>
      <w:r w:rsidR="00650425" w:rsidRPr="00BB11E5">
        <w:rPr>
          <w:rFonts w:cstheme="minorHAnsi"/>
          <w:b/>
          <w:sz w:val="22"/>
          <w:szCs w:val="22"/>
        </w:rPr>
        <w:t>12.</w:t>
      </w:r>
      <w:r w:rsidR="006C6C16" w:rsidRPr="00BB11E5">
        <w:rPr>
          <w:rFonts w:cstheme="minorHAnsi"/>
          <w:b/>
          <w:sz w:val="22"/>
          <w:szCs w:val="22"/>
        </w:rPr>
        <w:t>0</w:t>
      </w:r>
      <w:r w:rsidR="005461A4" w:rsidRPr="00BB11E5">
        <w:rPr>
          <w:rFonts w:cstheme="minorHAnsi"/>
          <w:b/>
          <w:sz w:val="22"/>
          <w:szCs w:val="22"/>
        </w:rPr>
        <w:t xml:space="preserve">0 </w:t>
      </w:r>
      <w:r w:rsidR="00952D0A" w:rsidRPr="00BB11E5">
        <w:rPr>
          <w:rFonts w:cstheme="minorHAnsi"/>
          <w:b/>
          <w:sz w:val="22"/>
          <w:szCs w:val="22"/>
        </w:rPr>
        <w:t xml:space="preserve">(Ostateczny </w:t>
      </w:r>
      <w:r w:rsidR="00952D0A" w:rsidRPr="00AF4BB8">
        <w:rPr>
          <w:rFonts w:cstheme="minorHAnsi"/>
          <w:b/>
          <w:sz w:val="22"/>
          <w:szCs w:val="22"/>
        </w:rPr>
        <w:t>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 xml:space="preserve">2  </w:t>
      </w:r>
      <w:proofErr w:type="spellStart"/>
      <w:r w:rsidRPr="00154BC0">
        <w:rPr>
          <w:rFonts w:eastAsia="Arial" w:cstheme="minorHAnsi"/>
          <w:sz w:val="22"/>
          <w:szCs w:val="22"/>
          <w:lang w:val="pl"/>
        </w:rPr>
        <w:t>Pzp</w:t>
      </w:r>
      <w:proofErr w:type="spellEnd"/>
      <w:r w:rsidRPr="00154BC0">
        <w:rPr>
          <w:rFonts w:eastAsia="Arial" w:cstheme="minorHAnsi"/>
          <w:sz w:val="22"/>
          <w:szCs w:val="22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29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9"/>
    <w:p w14:paraId="48C89C2C" w14:textId="2D1A79E4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BB11E5">
        <w:rPr>
          <w:rFonts w:cstheme="minorHAnsi"/>
          <w:b/>
          <w:bCs/>
          <w:szCs w:val="22"/>
        </w:rPr>
        <w:t xml:space="preserve">w dniu </w:t>
      </w:r>
      <w:r w:rsidR="00B153C4">
        <w:rPr>
          <w:rFonts w:cstheme="minorHAnsi"/>
          <w:b/>
          <w:bCs/>
          <w:szCs w:val="22"/>
        </w:rPr>
        <w:t>0</w:t>
      </w:r>
      <w:r w:rsidR="00CD4C3F">
        <w:rPr>
          <w:rFonts w:cstheme="minorHAnsi"/>
          <w:b/>
          <w:bCs/>
          <w:szCs w:val="22"/>
        </w:rPr>
        <w:t>9</w:t>
      </w:r>
      <w:r w:rsidR="00650425" w:rsidRPr="00BB11E5">
        <w:rPr>
          <w:rFonts w:cstheme="minorHAnsi"/>
          <w:b/>
          <w:bCs/>
          <w:szCs w:val="22"/>
        </w:rPr>
        <w:t>.</w:t>
      </w:r>
      <w:r w:rsidR="00B153C4">
        <w:rPr>
          <w:rFonts w:cstheme="minorHAnsi"/>
          <w:b/>
          <w:bCs/>
          <w:szCs w:val="22"/>
        </w:rPr>
        <w:t>0</w:t>
      </w:r>
      <w:r w:rsidR="00EA4BBB">
        <w:rPr>
          <w:rFonts w:cstheme="minorHAnsi"/>
          <w:b/>
          <w:bCs/>
          <w:szCs w:val="22"/>
        </w:rPr>
        <w:t>5</w:t>
      </w:r>
      <w:r w:rsidR="00650425" w:rsidRPr="00BB11E5">
        <w:rPr>
          <w:rFonts w:cstheme="minorHAnsi"/>
          <w:b/>
          <w:bCs/>
          <w:szCs w:val="22"/>
        </w:rPr>
        <w:t>.</w:t>
      </w:r>
      <w:r w:rsidRPr="00BB11E5">
        <w:rPr>
          <w:rFonts w:cstheme="minorHAnsi"/>
          <w:b/>
          <w:bCs/>
          <w:szCs w:val="22"/>
        </w:rPr>
        <w:t>202</w:t>
      </w:r>
      <w:r w:rsidR="00B153C4">
        <w:rPr>
          <w:rFonts w:cstheme="minorHAnsi"/>
          <w:b/>
          <w:bCs/>
          <w:szCs w:val="22"/>
        </w:rPr>
        <w:t>4</w:t>
      </w:r>
      <w:r w:rsidR="008F3A13" w:rsidRPr="00BB11E5">
        <w:rPr>
          <w:rFonts w:cstheme="minorHAnsi"/>
          <w:b/>
          <w:bCs/>
          <w:szCs w:val="22"/>
        </w:rPr>
        <w:t xml:space="preserve"> r.</w:t>
      </w:r>
      <w:r w:rsidRPr="00BB11E5">
        <w:rPr>
          <w:rFonts w:cstheme="minorHAnsi"/>
          <w:b/>
          <w:bCs/>
          <w:szCs w:val="22"/>
        </w:rPr>
        <w:t xml:space="preserve"> godz. </w:t>
      </w:r>
      <w:r w:rsidR="00650425" w:rsidRPr="00BB11E5">
        <w:rPr>
          <w:rFonts w:cstheme="minorHAnsi"/>
          <w:b/>
          <w:bCs/>
          <w:szCs w:val="22"/>
        </w:rPr>
        <w:t>1</w:t>
      </w:r>
      <w:r w:rsidR="006C6C16" w:rsidRPr="00BB11E5">
        <w:rPr>
          <w:rFonts w:cstheme="minorHAnsi"/>
          <w:b/>
          <w:bCs/>
          <w:szCs w:val="22"/>
        </w:rPr>
        <w:t>2</w:t>
      </w:r>
      <w:r w:rsidR="00650425" w:rsidRPr="00BB11E5">
        <w:rPr>
          <w:rFonts w:cstheme="minorHAnsi"/>
          <w:b/>
          <w:bCs/>
          <w:szCs w:val="22"/>
        </w:rPr>
        <w:t>:</w:t>
      </w:r>
      <w:r w:rsidR="006C6C16" w:rsidRPr="00BB11E5">
        <w:rPr>
          <w:rFonts w:cstheme="minorHAnsi"/>
          <w:b/>
          <w:bCs/>
          <w:szCs w:val="22"/>
        </w:rPr>
        <w:t>3</w:t>
      </w:r>
      <w:r w:rsidR="00650425" w:rsidRPr="00BB11E5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30" w:name="_Hlk62032660"/>
      <w:r w:rsidRPr="00154BC0">
        <w:rPr>
          <w:rFonts w:cstheme="minorHAnsi"/>
          <w:szCs w:val="22"/>
        </w:rPr>
        <w:t xml:space="preserve">Zgodnie z art. 222 ust. 4 </w:t>
      </w:r>
      <w:proofErr w:type="spellStart"/>
      <w:r w:rsidRPr="00154BC0">
        <w:rPr>
          <w:rFonts w:cstheme="minorHAnsi"/>
          <w:szCs w:val="22"/>
        </w:rPr>
        <w:t>Pzp</w:t>
      </w:r>
      <w:proofErr w:type="spellEnd"/>
      <w:r w:rsidRPr="00154BC0">
        <w:rPr>
          <w:rFonts w:cstheme="minorHAnsi"/>
          <w:szCs w:val="22"/>
        </w:rPr>
        <w:t xml:space="preserve">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1" w:name="_Hlk62032810"/>
      <w:bookmarkEnd w:id="30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1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5BBDFC72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</w:t>
      </w:r>
      <w:r w:rsidR="00551E22">
        <w:rPr>
          <w:rFonts w:cstheme="minorHAnsi"/>
          <w:b/>
          <w:bCs/>
          <w:sz w:val="22"/>
          <w:szCs w:val="22"/>
        </w:rPr>
        <w:t>y</w:t>
      </w:r>
      <w:r w:rsidRPr="00154BC0">
        <w:rPr>
          <w:rFonts w:cstheme="minorHAnsi"/>
          <w:b/>
          <w:bCs/>
          <w:sz w:val="22"/>
          <w:szCs w:val="22"/>
        </w:rPr>
        <w:t xml:space="preserve"> nakładcz</w:t>
      </w:r>
      <w:r w:rsidR="00551E22">
        <w:rPr>
          <w:rFonts w:cstheme="minorHAnsi"/>
          <w:b/>
          <w:bCs/>
          <w:sz w:val="22"/>
          <w:szCs w:val="22"/>
        </w:rPr>
        <w:t>e</w:t>
      </w:r>
      <w:r w:rsidRPr="00154BC0">
        <w:rPr>
          <w:rFonts w:cstheme="minorHAnsi"/>
          <w:b/>
          <w:bCs/>
          <w:sz w:val="22"/>
          <w:szCs w:val="22"/>
        </w:rPr>
        <w:t xml:space="preserve"> - załącznik nr 2</w:t>
      </w:r>
      <w:r w:rsidR="00551E22">
        <w:rPr>
          <w:rFonts w:cstheme="minorHAnsi"/>
          <w:b/>
          <w:bCs/>
          <w:sz w:val="22"/>
          <w:szCs w:val="22"/>
        </w:rPr>
        <w:t>.1 oraz 2.2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154BC0">
        <w:rPr>
          <w:rFonts w:cstheme="minorHAnsi"/>
          <w:sz w:val="22"/>
          <w:szCs w:val="22"/>
        </w:rPr>
        <w:t>późn</w:t>
      </w:r>
      <w:proofErr w:type="spellEnd"/>
      <w:r w:rsidRPr="00154BC0">
        <w:rPr>
          <w:rFonts w:cstheme="minorHAnsi"/>
          <w:sz w:val="22"/>
          <w:szCs w:val="22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</w:t>
      </w:r>
      <w:proofErr w:type="spellStart"/>
      <w:r w:rsidRPr="00154BC0">
        <w:rPr>
          <w:rFonts w:cstheme="minorHAnsi"/>
          <w:sz w:val="22"/>
          <w:szCs w:val="22"/>
        </w:rPr>
        <w:t>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proofErr w:type="spellEnd"/>
      <w:r w:rsidRPr="00154BC0">
        <w:rPr>
          <w:rFonts w:cstheme="minorHAnsi"/>
          <w:sz w:val="22"/>
          <w:szCs w:val="22"/>
        </w:rPr>
        <w:t>/</w:t>
      </w:r>
      <w:proofErr w:type="spellStart"/>
      <w:r w:rsidRPr="00154BC0">
        <w:rPr>
          <w:rFonts w:cstheme="minorHAnsi"/>
          <w:sz w:val="22"/>
          <w:szCs w:val="22"/>
        </w:rPr>
        <w:t>C</w:t>
      </w:r>
      <w:r w:rsidRPr="00154BC0">
        <w:rPr>
          <w:rFonts w:cstheme="minorHAnsi"/>
          <w:sz w:val="22"/>
          <w:szCs w:val="22"/>
          <w:vertAlign w:val="subscript"/>
        </w:rPr>
        <w:t>n</w:t>
      </w:r>
      <w:proofErr w:type="spellEnd"/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proofErr w:type="spellStart"/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proofErr w:type="spellEnd"/>
      <w:r w:rsidRPr="00467483">
        <w:rPr>
          <w:rFonts w:cstheme="minorHAnsi"/>
          <w:sz w:val="22"/>
          <w:szCs w:val="22"/>
        </w:rPr>
        <w:t xml:space="preserve"> – cena najniższa, </w:t>
      </w:r>
      <w:proofErr w:type="spellStart"/>
      <w:r w:rsidRPr="00467483">
        <w:rPr>
          <w:rFonts w:cstheme="minorHAnsi"/>
          <w:sz w:val="22"/>
          <w:szCs w:val="22"/>
        </w:rPr>
        <w:t>Cn</w:t>
      </w:r>
      <w:proofErr w:type="spellEnd"/>
      <w:r w:rsidRPr="00467483">
        <w:rPr>
          <w:rFonts w:cstheme="minorHAnsi"/>
          <w:sz w:val="22"/>
          <w:szCs w:val="22"/>
        </w:rPr>
        <w:t xml:space="preserve">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3661919A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551E22">
        <w:rPr>
          <w:rFonts w:cstheme="minorHAnsi"/>
          <w:b/>
          <w:szCs w:val="22"/>
        </w:rPr>
        <w:t>31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8E3E92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</w:t>
      </w:r>
      <w:r w:rsidR="00C91CD7">
        <w:rPr>
          <w:rFonts w:cstheme="minorHAnsi"/>
          <w:b/>
          <w:szCs w:val="22"/>
        </w:rPr>
        <w:t>R</w:t>
      </w:r>
      <w:r w:rsidR="00551E22">
        <w:rPr>
          <w:rFonts w:cstheme="minorHAnsi"/>
          <w:b/>
          <w:szCs w:val="22"/>
        </w:rPr>
        <w:t>emont schodów</w:t>
      </w:r>
      <w:r w:rsidRPr="00154BC0">
        <w:rPr>
          <w:rFonts w:cstheme="minorHAnsi"/>
          <w:b/>
          <w:szCs w:val="22"/>
        </w:rPr>
        <w:t>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2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2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52156AD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C91CD7" w:rsidRPr="00C91CD7">
        <w:rPr>
          <w:rFonts w:cstheme="minorHAnsi"/>
          <w:b/>
          <w:bCs/>
          <w:sz w:val="22"/>
          <w:szCs w:val="22"/>
        </w:rPr>
        <w:t xml:space="preserve">Remont schodów </w:t>
      </w:r>
      <w:r w:rsidR="00104E9E" w:rsidRPr="00104E9E">
        <w:rPr>
          <w:rFonts w:cstheme="minorHAnsi"/>
          <w:b/>
          <w:bCs/>
          <w:sz w:val="22"/>
          <w:szCs w:val="22"/>
        </w:rPr>
        <w:t>zewnętrznych</w:t>
      </w:r>
      <w:r w:rsidR="00C91CD7" w:rsidRPr="00C91CD7">
        <w:rPr>
          <w:rFonts w:cstheme="minorHAnsi"/>
          <w:b/>
          <w:bCs/>
          <w:sz w:val="22"/>
          <w:szCs w:val="22"/>
        </w:rPr>
        <w:t xml:space="preserve"> do budynków Uniwersytetu Medycznego w Łodzi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</w:t>
      </w:r>
      <w:r w:rsidR="00D27139">
        <w:rPr>
          <w:rFonts w:cstheme="minorHAnsi"/>
          <w:sz w:val="22"/>
          <w:szCs w:val="22"/>
        </w:rPr>
        <w:t>r</w:t>
      </w:r>
      <w:r w:rsidR="00D26981" w:rsidRPr="00154BC0">
        <w:rPr>
          <w:rFonts w:cstheme="minorHAnsi"/>
          <w:sz w:val="22"/>
          <w:szCs w:val="22"/>
        </w:rPr>
        <w:t>.</w:t>
      </w:r>
      <w:r w:rsidR="00D27139">
        <w:rPr>
          <w:rFonts w:cstheme="minorHAnsi"/>
          <w:sz w:val="22"/>
          <w:szCs w:val="22"/>
        </w:rPr>
        <w:t xml:space="preserve"> P</w:t>
      </w:r>
      <w:r w:rsidR="00D26981" w:rsidRPr="00154BC0">
        <w:rPr>
          <w:rFonts w:cstheme="minorHAnsi"/>
          <w:sz w:val="22"/>
          <w:szCs w:val="22"/>
        </w:rPr>
        <w:t xml:space="preserve">rawo zamówień publicznych, dalej „ustawa </w:t>
      </w:r>
      <w:proofErr w:type="spellStart"/>
      <w:r w:rsidR="00D26981" w:rsidRPr="00154BC0">
        <w:rPr>
          <w:rFonts w:cstheme="minorHAnsi"/>
          <w:sz w:val="22"/>
          <w:szCs w:val="22"/>
        </w:rPr>
        <w:t>Pzp</w:t>
      </w:r>
      <w:proofErr w:type="spellEnd"/>
      <w:r w:rsidR="00D26981" w:rsidRPr="00154BC0">
        <w:rPr>
          <w:rFonts w:cstheme="minorHAnsi"/>
          <w:sz w:val="22"/>
          <w:szCs w:val="22"/>
        </w:rPr>
        <w:t>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54BC0">
        <w:rPr>
          <w:rFonts w:cstheme="minorHAnsi"/>
          <w:i/>
          <w:sz w:val="22"/>
          <w:szCs w:val="22"/>
        </w:rPr>
        <w:t>Pzp</w:t>
      </w:r>
      <w:proofErr w:type="spellEnd"/>
      <w:r w:rsidRPr="00154BC0">
        <w:rPr>
          <w:rFonts w:cstheme="minorHAnsi"/>
          <w:i/>
          <w:sz w:val="22"/>
          <w:szCs w:val="22"/>
        </w:rPr>
        <w:t xml:space="preserve">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</w:t>
      </w:r>
      <w:proofErr w:type="spellStart"/>
      <w:r w:rsidR="00560FD1" w:rsidRPr="00154BC0">
        <w:rPr>
          <w:rFonts w:cstheme="minorHAnsi"/>
          <w:szCs w:val="22"/>
        </w:rPr>
        <w:t>Nexus</w:t>
      </w:r>
      <w:proofErr w:type="spellEnd"/>
      <w:r w:rsidR="00560FD1" w:rsidRPr="00154BC0">
        <w:rPr>
          <w:rFonts w:cstheme="minorHAnsi"/>
          <w:szCs w:val="22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399396EF" w:rsidR="00AB526E" w:rsidRPr="00154BC0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Załącznik nr 2</w:t>
      </w:r>
      <w:r w:rsidR="00551E22">
        <w:rPr>
          <w:rFonts w:cstheme="minorHAnsi"/>
          <w:b/>
          <w:sz w:val="22"/>
          <w:szCs w:val="22"/>
        </w:rPr>
        <w:t>.1 oraz 2.2</w:t>
      </w:r>
      <w:r>
        <w:rPr>
          <w:rFonts w:cstheme="minorHAnsi"/>
          <w:b/>
          <w:sz w:val="22"/>
          <w:szCs w:val="22"/>
        </w:rPr>
        <w:t xml:space="preserve">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Kosztorys</w:t>
      </w:r>
      <w:r w:rsidR="00D20EA1">
        <w:rPr>
          <w:rFonts w:cstheme="minorHAnsi"/>
          <w:bCs/>
          <w:sz w:val="22"/>
          <w:szCs w:val="22"/>
        </w:rPr>
        <w:t>y</w:t>
      </w:r>
      <w:r w:rsidR="00AB526E" w:rsidRPr="00154BC0">
        <w:rPr>
          <w:rFonts w:cstheme="minorHAnsi"/>
          <w:bCs/>
          <w:sz w:val="22"/>
          <w:szCs w:val="22"/>
        </w:rPr>
        <w:t xml:space="preserve"> nakładcz</w:t>
      </w:r>
      <w:r w:rsidR="00D20EA1">
        <w:rPr>
          <w:rFonts w:cstheme="minorHAnsi"/>
          <w:bCs/>
          <w:sz w:val="22"/>
          <w:szCs w:val="22"/>
        </w:rPr>
        <w:t>e</w:t>
      </w:r>
      <w:r w:rsidR="00551E22">
        <w:rPr>
          <w:rFonts w:cstheme="minorHAnsi"/>
          <w:bCs/>
          <w:sz w:val="22"/>
          <w:szCs w:val="22"/>
        </w:rPr>
        <w:t>.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EC5CA0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CDD09" w14:textId="77777777" w:rsidR="00EC5CA0" w:rsidRDefault="00EC5CA0" w:rsidP="00DF607E">
      <w:r>
        <w:separator/>
      </w:r>
    </w:p>
  </w:endnote>
  <w:endnote w:type="continuationSeparator" w:id="0">
    <w:p w14:paraId="15566F25" w14:textId="77777777" w:rsidR="00EC5CA0" w:rsidRDefault="00EC5CA0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E0876" w14:textId="77777777" w:rsidR="00EC5CA0" w:rsidRDefault="00EC5CA0" w:rsidP="00DF607E">
      <w:r>
        <w:separator/>
      </w:r>
    </w:p>
  </w:footnote>
  <w:footnote w:type="continuationSeparator" w:id="0">
    <w:p w14:paraId="68D89C32" w14:textId="77777777" w:rsidR="00EC5CA0" w:rsidRDefault="00EC5CA0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66726C5B" w14:textId="3B6D0567" w:rsidR="007F1103" w:rsidRDefault="007F1103" w:rsidP="00E713CA">
    <w:pPr>
      <w:pStyle w:val="Nagwek"/>
      <w:ind w:hanging="1702"/>
    </w:pPr>
    <w:r>
      <w:tab/>
    </w:r>
    <w:r w:rsidR="00A31EB1">
      <w:rPr>
        <w:noProof/>
      </w:rPr>
      <w:drawing>
        <wp:inline distT="0" distB="0" distL="0" distR="0" wp14:anchorId="60752678" wp14:editId="0951B292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4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6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7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9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3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4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4"/>
  </w:num>
  <w:num w:numId="4" w16cid:durableId="1309625997">
    <w:abstractNumId w:val="15"/>
  </w:num>
  <w:num w:numId="5" w16cid:durableId="1232737747">
    <w:abstractNumId w:val="42"/>
  </w:num>
  <w:num w:numId="6" w16cid:durableId="987249634">
    <w:abstractNumId w:val="50"/>
  </w:num>
  <w:num w:numId="7" w16cid:durableId="862549840">
    <w:abstractNumId w:val="3"/>
  </w:num>
  <w:num w:numId="8" w16cid:durableId="122844711">
    <w:abstractNumId w:val="59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4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5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2"/>
  </w:num>
  <w:num w:numId="20" w16cid:durableId="2035382686">
    <w:abstractNumId w:val="36"/>
  </w:num>
  <w:num w:numId="21" w16cid:durableId="942491262">
    <w:abstractNumId w:val="63"/>
  </w:num>
  <w:num w:numId="22" w16cid:durableId="1276672611">
    <w:abstractNumId w:val="53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7"/>
  </w:num>
  <w:num w:numId="27" w16cid:durableId="656810555">
    <w:abstractNumId w:val="57"/>
  </w:num>
  <w:num w:numId="28" w16cid:durableId="260995311">
    <w:abstractNumId w:val="55"/>
  </w:num>
  <w:num w:numId="29" w16cid:durableId="1063218873">
    <w:abstractNumId w:val="21"/>
  </w:num>
  <w:num w:numId="30" w16cid:durableId="828449477">
    <w:abstractNumId w:val="41"/>
  </w:num>
  <w:num w:numId="31" w16cid:durableId="417294830">
    <w:abstractNumId w:val="23"/>
  </w:num>
  <w:num w:numId="32" w16cid:durableId="1060208512">
    <w:abstractNumId w:val="48"/>
  </w:num>
  <w:num w:numId="33" w16cid:durableId="1227377109">
    <w:abstractNumId w:val="16"/>
  </w:num>
  <w:num w:numId="34" w16cid:durableId="1523594280">
    <w:abstractNumId w:val="39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2"/>
  </w:num>
  <w:num w:numId="38" w16cid:durableId="1725105001">
    <w:abstractNumId w:val="54"/>
  </w:num>
  <w:num w:numId="39" w16cid:durableId="1157696853">
    <w:abstractNumId w:val="38"/>
  </w:num>
  <w:num w:numId="40" w16cid:durableId="1541168291">
    <w:abstractNumId w:val="43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58"/>
  </w:num>
  <w:num w:numId="45" w16cid:durableId="1881476356">
    <w:abstractNumId w:val="47"/>
  </w:num>
  <w:num w:numId="46" w16cid:durableId="1185745839">
    <w:abstractNumId w:val="49"/>
  </w:num>
  <w:num w:numId="47" w16cid:durableId="1667244356">
    <w:abstractNumId w:val="35"/>
  </w:num>
  <w:num w:numId="48" w16cid:durableId="1233663832">
    <w:abstractNumId w:val="61"/>
  </w:num>
  <w:num w:numId="49" w16cid:durableId="264309178">
    <w:abstractNumId w:val="56"/>
  </w:num>
  <w:num w:numId="50" w16cid:durableId="1383363900">
    <w:abstractNumId w:val="20"/>
  </w:num>
  <w:num w:numId="51" w16cid:durableId="1100376883">
    <w:abstractNumId w:val="65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66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6"/>
  </w:num>
  <w:num w:numId="61" w16cid:durableId="753428786">
    <w:abstractNumId w:val="51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0"/>
  </w:num>
  <w:num w:numId="65" w16cid:durableId="6458646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0"/>
  </w:num>
  <w:num w:numId="67" w16cid:durableId="1260335879">
    <w:abstractNumId w:val="13"/>
  </w:num>
  <w:num w:numId="68" w16cid:durableId="1504083148">
    <w:abstractNumId w:val="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37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3CA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0852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4E9E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2A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1E9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B9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1B8D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D42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346"/>
    <w:rsid w:val="002F44B4"/>
    <w:rsid w:val="002F525D"/>
    <w:rsid w:val="002F5308"/>
    <w:rsid w:val="002F5383"/>
    <w:rsid w:val="002F548A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A31"/>
    <w:rsid w:val="00442BD5"/>
    <w:rsid w:val="0044334E"/>
    <w:rsid w:val="00443661"/>
    <w:rsid w:val="00443738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4E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5F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8FF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367"/>
    <w:rsid w:val="004B566B"/>
    <w:rsid w:val="004B5BB9"/>
    <w:rsid w:val="004B6127"/>
    <w:rsid w:val="004B77B8"/>
    <w:rsid w:val="004B7ADD"/>
    <w:rsid w:val="004C0016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0E2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57C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1D8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2D9"/>
    <w:rsid w:val="00551793"/>
    <w:rsid w:val="005517F4"/>
    <w:rsid w:val="00551B75"/>
    <w:rsid w:val="00551CA9"/>
    <w:rsid w:val="00551D4D"/>
    <w:rsid w:val="00551E22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8E3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67AE1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9DC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A9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2C02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368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81D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893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753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2061"/>
    <w:rsid w:val="008E3025"/>
    <w:rsid w:val="008E30E2"/>
    <w:rsid w:val="008E3435"/>
    <w:rsid w:val="008E3805"/>
    <w:rsid w:val="008E3BA8"/>
    <w:rsid w:val="008E3E81"/>
    <w:rsid w:val="008E3E92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29E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07B8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4F33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205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8A3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3C4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52A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A59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03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CD7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23F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4C3F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0EA1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139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164A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4F98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193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79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898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BB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CA0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6F94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0655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1E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  <w:rsid w:val="356DF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0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4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23</Pages>
  <Words>10295</Words>
  <Characters>61774</Characters>
  <Application>Microsoft Office Word</Application>
  <DocSecurity>0</DocSecurity>
  <Lines>514</Lines>
  <Paragraphs>143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71926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61</cp:revision>
  <cp:lastPrinted>2024-01-22T10:07:00Z</cp:lastPrinted>
  <dcterms:created xsi:type="dcterms:W3CDTF">2023-10-11T11:51:00Z</dcterms:created>
  <dcterms:modified xsi:type="dcterms:W3CDTF">2024-04-24T10:23:00Z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