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C330" w14:textId="70EF7E60" w:rsidR="003D3EA5" w:rsidRDefault="00850196">
      <w:pPr>
        <w:tabs>
          <w:tab w:val="center" w:pos="1330"/>
          <w:tab w:val="center" w:pos="4871"/>
          <w:tab w:val="center" w:pos="5579"/>
          <w:tab w:val="center" w:pos="6287"/>
          <w:tab w:val="center" w:pos="6995"/>
          <w:tab w:val="right" w:pos="9439"/>
        </w:tabs>
        <w:spacing w:after="242" w:line="259" w:lineRule="auto"/>
        <w:ind w:left="0" w:firstLine="0"/>
        <w:jc w:val="left"/>
      </w:pPr>
      <w:r>
        <w:tab/>
      </w:r>
      <w:r>
        <w:rPr>
          <w:rFonts w:ascii="Century Gothic" w:eastAsia="Century Gothic" w:hAnsi="Century Gothic" w:cs="Century Gothic"/>
          <w:b/>
          <w:color w:val="FF0000"/>
          <w:sz w:val="20"/>
        </w:rPr>
        <w:t xml:space="preserve">                                  </w:t>
      </w:r>
    </w:p>
    <w:p w14:paraId="7DDABF5B" w14:textId="5F6FE4EB" w:rsidR="003D3EA5" w:rsidRDefault="00850196" w:rsidP="00F20799">
      <w:pPr>
        <w:spacing w:after="232" w:line="259" w:lineRule="auto"/>
        <w:ind w:left="405" w:firstLine="0"/>
        <w:jc w:val="right"/>
      </w:pPr>
      <w:r>
        <w:rPr>
          <w:b/>
        </w:rPr>
        <w:t xml:space="preserve"> </w:t>
      </w:r>
      <w:r w:rsidR="00F20799">
        <w:rPr>
          <w:b/>
        </w:rPr>
        <w:t>załącznik nr 3 do SWZ</w:t>
      </w:r>
    </w:p>
    <w:p w14:paraId="398AE092" w14:textId="0BDD5FA1" w:rsidR="003D3EA5" w:rsidRDefault="00850196" w:rsidP="00F20799">
      <w:pPr>
        <w:spacing w:after="232" w:line="259" w:lineRule="auto"/>
        <w:ind w:left="353" w:firstLine="0"/>
        <w:jc w:val="center"/>
      </w:pPr>
      <w:r>
        <w:rPr>
          <w:b/>
        </w:rPr>
        <w:t xml:space="preserve">OPIS PRZEDMIOTU ZAMÓWIENIA </w:t>
      </w:r>
    </w:p>
    <w:p w14:paraId="2763E8EE" w14:textId="77777777" w:rsidR="00F20799" w:rsidRPr="005A74A1" w:rsidRDefault="00850196" w:rsidP="00F20799">
      <w:pPr>
        <w:numPr>
          <w:ilvl w:val="0"/>
          <w:numId w:val="1"/>
        </w:numPr>
        <w:spacing w:after="0" w:line="360" w:lineRule="auto"/>
        <w:ind w:left="460" w:hanging="335"/>
        <w:rPr>
          <w:b/>
        </w:rPr>
      </w:pPr>
      <w:r w:rsidRPr="005A74A1">
        <w:t xml:space="preserve">Przedmiotem zamówienia jest </w:t>
      </w:r>
      <w:r w:rsidR="00355C67" w:rsidRPr="005A74A1">
        <w:rPr>
          <w:b/>
        </w:rPr>
        <w:t>jednorazowa</w:t>
      </w:r>
      <w:r w:rsidRPr="005A74A1">
        <w:rPr>
          <w:b/>
        </w:rPr>
        <w:t xml:space="preserve"> dostawa produktów leczniczych zawierających w swoim składzie substancję </w:t>
      </w:r>
      <w:r w:rsidR="00355C67" w:rsidRPr="005A74A1">
        <w:rPr>
          <w:b/>
        </w:rPr>
        <w:t>czynną</w:t>
      </w:r>
      <w:r w:rsidR="00F20799" w:rsidRPr="005A74A1">
        <w:rPr>
          <w:b/>
        </w:rPr>
        <w:t>:</w:t>
      </w:r>
    </w:p>
    <w:p w14:paraId="1817F5EC" w14:textId="77777777" w:rsidR="00F20799" w:rsidRPr="005A74A1" w:rsidRDefault="00850196" w:rsidP="00F20799">
      <w:pPr>
        <w:spacing w:after="0" w:line="360" w:lineRule="auto"/>
        <w:ind w:left="460" w:firstLine="0"/>
        <w:rPr>
          <w:rFonts w:asciiTheme="minorHAnsi" w:hAnsiTheme="minorHAnsi" w:cstheme="minorHAnsi"/>
          <w:b/>
        </w:rPr>
      </w:pPr>
      <w:r w:rsidRPr="005A74A1">
        <w:rPr>
          <w:b/>
        </w:rPr>
        <w:t xml:space="preserve"> </w:t>
      </w:r>
      <w:proofErr w:type="spellStart"/>
      <w:r w:rsidR="00355C67" w:rsidRPr="005A74A1">
        <w:rPr>
          <w:b/>
        </w:rPr>
        <w:t>alteplaz</w:t>
      </w:r>
      <w:r w:rsidR="00EB072A" w:rsidRPr="005A74A1">
        <w:rPr>
          <w:b/>
        </w:rPr>
        <w:t>e</w:t>
      </w:r>
      <w:proofErr w:type="spellEnd"/>
      <w:r w:rsidRPr="005A74A1">
        <w:rPr>
          <w:b/>
        </w:rPr>
        <w:t xml:space="preserve"> </w:t>
      </w:r>
      <w:proofErr w:type="spellStart"/>
      <w:r w:rsidR="00355C67" w:rsidRPr="005A74A1">
        <w:rPr>
          <w:b/>
        </w:rPr>
        <w:t>rtPA</w:t>
      </w:r>
      <w:proofErr w:type="spellEnd"/>
      <w:r w:rsidR="00355C67" w:rsidRPr="005A74A1">
        <w:rPr>
          <w:b/>
        </w:rPr>
        <w:t xml:space="preserve"> </w:t>
      </w:r>
      <w:proofErr w:type="spellStart"/>
      <w:r w:rsidR="00355C67" w:rsidRPr="005A74A1">
        <w:rPr>
          <w:b/>
        </w:rPr>
        <w:t>Ac</w:t>
      </w:r>
      <w:r w:rsidR="00DA21BC" w:rsidRPr="005A74A1">
        <w:rPr>
          <w:b/>
        </w:rPr>
        <w:t>tilyse</w:t>
      </w:r>
      <w:proofErr w:type="spellEnd"/>
      <w:r w:rsidR="00355C67" w:rsidRPr="005A74A1">
        <w:rPr>
          <w:b/>
        </w:rPr>
        <w:t xml:space="preserve"> 10, 10 mg proszek i rozpuszczalnik do sporządzenia roztworu do </w:t>
      </w:r>
      <w:r w:rsidR="00355C67" w:rsidRPr="005A74A1">
        <w:rPr>
          <w:rFonts w:asciiTheme="minorHAnsi" w:hAnsiTheme="minorHAnsi" w:cstheme="minorHAnsi"/>
          <w:b/>
        </w:rPr>
        <w:t>infuzji</w:t>
      </w:r>
    </w:p>
    <w:p w14:paraId="0792C752" w14:textId="77777777" w:rsidR="00F20799" w:rsidRPr="005A74A1" w:rsidRDefault="00355C67" w:rsidP="00F20799">
      <w:pPr>
        <w:spacing w:after="0" w:line="360" w:lineRule="auto"/>
        <w:ind w:left="460" w:firstLine="0"/>
        <w:rPr>
          <w:rFonts w:asciiTheme="minorHAnsi" w:hAnsiTheme="minorHAnsi" w:cstheme="minorHAnsi"/>
          <w:b/>
        </w:rPr>
      </w:pPr>
      <w:r w:rsidRPr="005A74A1">
        <w:rPr>
          <w:rFonts w:asciiTheme="minorHAnsi" w:hAnsiTheme="minorHAnsi" w:cstheme="minorHAnsi"/>
          <w:b/>
        </w:rPr>
        <w:t xml:space="preserve"> oraz </w:t>
      </w:r>
    </w:p>
    <w:p w14:paraId="34F6F03E" w14:textId="77777777" w:rsidR="00F20799" w:rsidRPr="005A74A1" w:rsidRDefault="00355C67" w:rsidP="00F20799">
      <w:pPr>
        <w:spacing w:after="0" w:line="360" w:lineRule="auto"/>
        <w:ind w:left="460" w:firstLine="0"/>
        <w:rPr>
          <w:rFonts w:asciiTheme="minorHAnsi" w:hAnsiTheme="minorHAnsi" w:cstheme="minorHAnsi"/>
          <w:b/>
        </w:rPr>
      </w:pPr>
      <w:proofErr w:type="spellStart"/>
      <w:r w:rsidRPr="005A74A1">
        <w:rPr>
          <w:rFonts w:asciiTheme="minorHAnsi" w:hAnsiTheme="minorHAnsi" w:cstheme="minorHAnsi"/>
          <w:b/>
        </w:rPr>
        <w:t>rtPA</w:t>
      </w:r>
      <w:proofErr w:type="spellEnd"/>
      <w:r w:rsidRPr="005A74A1">
        <w:rPr>
          <w:rFonts w:asciiTheme="minorHAnsi" w:hAnsiTheme="minorHAnsi" w:cstheme="minorHAnsi"/>
          <w:b/>
        </w:rPr>
        <w:t xml:space="preserve"> </w:t>
      </w:r>
      <w:proofErr w:type="spellStart"/>
      <w:r w:rsidRPr="005A74A1">
        <w:rPr>
          <w:rFonts w:asciiTheme="minorHAnsi" w:hAnsiTheme="minorHAnsi" w:cstheme="minorHAnsi"/>
          <w:b/>
        </w:rPr>
        <w:t>Act</w:t>
      </w:r>
      <w:r w:rsidR="00DA21BC" w:rsidRPr="005A74A1">
        <w:rPr>
          <w:rFonts w:asciiTheme="minorHAnsi" w:hAnsiTheme="minorHAnsi" w:cstheme="minorHAnsi"/>
          <w:b/>
        </w:rPr>
        <w:t>i</w:t>
      </w:r>
      <w:r w:rsidR="00587276" w:rsidRPr="005A74A1">
        <w:rPr>
          <w:rFonts w:asciiTheme="minorHAnsi" w:hAnsiTheme="minorHAnsi" w:cstheme="minorHAnsi"/>
          <w:b/>
        </w:rPr>
        <w:t>lyse</w:t>
      </w:r>
      <w:proofErr w:type="spellEnd"/>
      <w:r w:rsidRPr="005A74A1">
        <w:rPr>
          <w:rFonts w:asciiTheme="minorHAnsi" w:hAnsiTheme="minorHAnsi" w:cstheme="minorHAnsi"/>
          <w:b/>
        </w:rPr>
        <w:t xml:space="preserve"> 20, 20 mg proszek i rozpuszczalnik do sporządzenia roztworu do infuzji</w:t>
      </w:r>
    </w:p>
    <w:p w14:paraId="1FD62080" w14:textId="006B5544" w:rsidR="00355C67" w:rsidRPr="005A74A1" w:rsidRDefault="00850196" w:rsidP="00F20799">
      <w:pPr>
        <w:spacing w:after="0" w:line="360" w:lineRule="auto"/>
        <w:ind w:left="460" w:firstLine="0"/>
      </w:pPr>
      <w:r w:rsidRPr="005A74A1">
        <w:rPr>
          <w:rFonts w:asciiTheme="minorHAnsi" w:hAnsiTheme="minorHAnsi" w:cstheme="minorHAnsi"/>
        </w:rPr>
        <w:t xml:space="preserve">na potrzeby realizacji niekomercyjnego badania klinicznego: </w:t>
      </w:r>
      <w:r w:rsidRPr="005A74A1">
        <w:rPr>
          <w:rFonts w:asciiTheme="minorHAnsi" w:hAnsiTheme="minorHAnsi" w:cstheme="minorHAnsi"/>
          <w:b/>
        </w:rPr>
        <w:t>„</w:t>
      </w:r>
      <w:r w:rsidR="0043425E" w:rsidRPr="005A74A1">
        <w:rPr>
          <w:b/>
        </w:rPr>
        <w:t xml:space="preserve">Wieloośrodkowe, randomizowane badanie fazy II z zastosowaniem równoległych grup badanych oraz podwójnie ślepej próby i placebo, oceniające skuteczność i bezpieczeństwo </w:t>
      </w:r>
      <w:proofErr w:type="spellStart"/>
      <w:r w:rsidR="0043425E" w:rsidRPr="005A74A1">
        <w:rPr>
          <w:b/>
        </w:rPr>
        <w:t>reperfuzyjnego</w:t>
      </w:r>
      <w:proofErr w:type="spellEnd"/>
      <w:r w:rsidR="0043425E" w:rsidRPr="005A74A1">
        <w:rPr>
          <w:b/>
        </w:rPr>
        <w:t xml:space="preserve"> leczenia </w:t>
      </w:r>
      <w:proofErr w:type="spellStart"/>
      <w:r w:rsidR="0043425E" w:rsidRPr="005A74A1">
        <w:rPr>
          <w:b/>
        </w:rPr>
        <w:t>trombolitycznego</w:t>
      </w:r>
      <w:proofErr w:type="spellEnd"/>
      <w:r w:rsidR="0043425E" w:rsidRPr="005A74A1">
        <w:rPr>
          <w:b/>
        </w:rPr>
        <w:t xml:space="preserve"> z użyciem dożylnym rekombinowanego aktywatora plazminogenu tkankowego (</w:t>
      </w:r>
      <w:proofErr w:type="spellStart"/>
      <w:r w:rsidR="0043425E" w:rsidRPr="005A74A1">
        <w:rPr>
          <w:b/>
        </w:rPr>
        <w:t>rtPA</w:t>
      </w:r>
      <w:proofErr w:type="spellEnd"/>
      <w:r w:rsidR="0043425E" w:rsidRPr="005A74A1">
        <w:rPr>
          <w:b/>
        </w:rPr>
        <w:t>) w udarze niedokrwiennym mózgu u pacjentów przyjmujących doustne leki przeciwzakrzepowe nie należące do grupy antagonistów witaminy K i po odwróceniu aktywności przeciwkrzepliwej specyficznym antidotum. STROACT (</w:t>
      </w:r>
      <w:proofErr w:type="spellStart"/>
      <w:r w:rsidR="0043425E" w:rsidRPr="005A74A1">
        <w:rPr>
          <w:b/>
        </w:rPr>
        <w:t>STRoke</w:t>
      </w:r>
      <w:proofErr w:type="spellEnd"/>
      <w:r w:rsidR="0043425E" w:rsidRPr="005A74A1">
        <w:rPr>
          <w:b/>
        </w:rPr>
        <w:t xml:space="preserve"> on </w:t>
      </w:r>
      <w:proofErr w:type="spellStart"/>
      <w:r w:rsidR="0043425E" w:rsidRPr="005A74A1">
        <w:rPr>
          <w:b/>
        </w:rPr>
        <w:t>Oral</w:t>
      </w:r>
      <w:proofErr w:type="spellEnd"/>
      <w:r w:rsidR="0043425E" w:rsidRPr="005A74A1">
        <w:rPr>
          <w:b/>
        </w:rPr>
        <w:t xml:space="preserve"> </w:t>
      </w:r>
      <w:proofErr w:type="spellStart"/>
      <w:r w:rsidR="0043425E" w:rsidRPr="005A74A1">
        <w:rPr>
          <w:b/>
        </w:rPr>
        <w:t>AntiCoagulants</w:t>
      </w:r>
      <w:proofErr w:type="spellEnd"/>
      <w:r w:rsidR="0043425E" w:rsidRPr="005A74A1">
        <w:rPr>
          <w:b/>
        </w:rPr>
        <w:t xml:space="preserve"> for </w:t>
      </w:r>
      <w:proofErr w:type="spellStart"/>
      <w:r w:rsidR="0043425E" w:rsidRPr="005A74A1">
        <w:rPr>
          <w:b/>
        </w:rPr>
        <w:t>Thrombolysis</w:t>
      </w:r>
      <w:proofErr w:type="spellEnd"/>
      <w:r w:rsidR="0043425E" w:rsidRPr="005A74A1">
        <w:rPr>
          <w:b/>
        </w:rPr>
        <w:t>)”</w:t>
      </w:r>
      <w:r w:rsidR="006B1285" w:rsidRPr="005A74A1">
        <w:rPr>
          <w:rFonts w:asciiTheme="minorHAnsi" w:hAnsiTheme="minorHAnsi" w:cstheme="minorHAnsi"/>
          <w:b/>
        </w:rPr>
        <w:t xml:space="preserve"> </w:t>
      </w:r>
      <w:r w:rsidR="00355C67" w:rsidRPr="005A74A1">
        <w:rPr>
          <w:rFonts w:asciiTheme="minorHAnsi" w:hAnsiTheme="minorHAnsi" w:cstheme="minorHAnsi"/>
        </w:rPr>
        <w:t>w ramach Konkursu Agencji Badań Medycznych (ABM) na realizację projektów badawczo-naukowych w zakresie niekomercyjnych badań klinicznych, nr umowy 2019/ABM/01/00084.</w:t>
      </w:r>
    </w:p>
    <w:p w14:paraId="74A991B5" w14:textId="77777777" w:rsidR="003D3EA5" w:rsidRPr="005A74A1" w:rsidRDefault="00355C67" w:rsidP="00355C67">
      <w:pPr>
        <w:numPr>
          <w:ilvl w:val="0"/>
          <w:numId w:val="1"/>
        </w:numPr>
        <w:ind w:hanging="334"/>
      </w:pPr>
      <w:r w:rsidRPr="005A74A1">
        <w:t>Zamówienie obejmować będzie dostawę następujących dawek leku:</w:t>
      </w:r>
    </w:p>
    <w:p w14:paraId="2847CA56" w14:textId="120C8EAE" w:rsidR="00355C67" w:rsidRPr="005A74A1" w:rsidRDefault="00355C67" w:rsidP="005A74A1">
      <w:pPr>
        <w:ind w:left="127" w:firstLine="299"/>
        <w:rPr>
          <w:b/>
        </w:rPr>
      </w:pPr>
      <w:r w:rsidRPr="005A74A1">
        <w:t xml:space="preserve">-   </w:t>
      </w:r>
      <w:proofErr w:type="spellStart"/>
      <w:r w:rsidRPr="005A74A1">
        <w:rPr>
          <w:b/>
        </w:rPr>
        <w:t>rtPA</w:t>
      </w:r>
      <w:proofErr w:type="spellEnd"/>
      <w:r w:rsidRPr="005A74A1">
        <w:rPr>
          <w:b/>
        </w:rPr>
        <w:t xml:space="preserve"> </w:t>
      </w:r>
      <w:proofErr w:type="spellStart"/>
      <w:r w:rsidRPr="005A74A1">
        <w:rPr>
          <w:b/>
        </w:rPr>
        <w:t>Act</w:t>
      </w:r>
      <w:r w:rsidR="00587276" w:rsidRPr="005A74A1">
        <w:rPr>
          <w:b/>
        </w:rPr>
        <w:t>ilyse</w:t>
      </w:r>
      <w:proofErr w:type="spellEnd"/>
      <w:r w:rsidRPr="005A74A1">
        <w:rPr>
          <w:b/>
        </w:rPr>
        <w:t xml:space="preserve"> 10,10 mg – 18 opakowań</w:t>
      </w:r>
    </w:p>
    <w:p w14:paraId="652A0933" w14:textId="07F1953A" w:rsidR="00355C67" w:rsidRPr="005A74A1" w:rsidRDefault="00355C67" w:rsidP="005A74A1">
      <w:pPr>
        <w:ind w:left="127" w:firstLine="299"/>
        <w:rPr>
          <w:b/>
        </w:rPr>
      </w:pPr>
      <w:r w:rsidRPr="005A74A1">
        <w:rPr>
          <w:b/>
        </w:rPr>
        <w:t xml:space="preserve">- </w:t>
      </w:r>
      <w:r w:rsidR="00EB072A" w:rsidRPr="005A74A1">
        <w:rPr>
          <w:b/>
        </w:rPr>
        <w:t xml:space="preserve">  </w:t>
      </w:r>
      <w:proofErr w:type="spellStart"/>
      <w:r w:rsidRPr="005A74A1">
        <w:rPr>
          <w:b/>
        </w:rPr>
        <w:t>rtPA</w:t>
      </w:r>
      <w:proofErr w:type="spellEnd"/>
      <w:r w:rsidRPr="005A74A1">
        <w:rPr>
          <w:b/>
        </w:rPr>
        <w:t xml:space="preserve"> </w:t>
      </w:r>
      <w:proofErr w:type="spellStart"/>
      <w:r w:rsidRPr="005A74A1">
        <w:rPr>
          <w:b/>
        </w:rPr>
        <w:t>Act</w:t>
      </w:r>
      <w:r w:rsidR="00587276" w:rsidRPr="005A74A1">
        <w:rPr>
          <w:b/>
        </w:rPr>
        <w:t>ilyse</w:t>
      </w:r>
      <w:proofErr w:type="spellEnd"/>
      <w:r w:rsidRPr="005A74A1">
        <w:rPr>
          <w:b/>
        </w:rPr>
        <w:t xml:space="preserve"> 20, 20 mg – 9 opakowań</w:t>
      </w:r>
    </w:p>
    <w:p w14:paraId="18AFE011" w14:textId="70808C9B" w:rsidR="003D3EA5" w:rsidRPr="005A74A1" w:rsidRDefault="00850196" w:rsidP="005A74A1">
      <w:pPr>
        <w:numPr>
          <w:ilvl w:val="0"/>
          <w:numId w:val="2"/>
        </w:numPr>
        <w:spacing w:after="0" w:line="360" w:lineRule="auto"/>
        <w:ind w:left="533" w:hanging="408"/>
      </w:pPr>
      <w:r w:rsidRPr="005A74A1">
        <w:t xml:space="preserve">Okres ważności produktu leczniczego </w:t>
      </w:r>
      <w:r w:rsidRPr="005A74A1">
        <w:rPr>
          <w:b/>
        </w:rPr>
        <w:t xml:space="preserve">– min. </w:t>
      </w:r>
      <w:r w:rsidR="00827461" w:rsidRPr="005A74A1">
        <w:rPr>
          <w:b/>
        </w:rPr>
        <w:t xml:space="preserve">24 </w:t>
      </w:r>
      <w:r w:rsidRPr="005A74A1">
        <w:rPr>
          <w:b/>
        </w:rPr>
        <w:t>miesi</w:t>
      </w:r>
      <w:r w:rsidR="00827461" w:rsidRPr="005A74A1">
        <w:rPr>
          <w:b/>
        </w:rPr>
        <w:t>ą</w:t>
      </w:r>
      <w:r w:rsidRPr="005A74A1">
        <w:rPr>
          <w:b/>
        </w:rPr>
        <w:t>c</w:t>
      </w:r>
      <w:r w:rsidR="00827461" w:rsidRPr="005A74A1">
        <w:rPr>
          <w:b/>
        </w:rPr>
        <w:t>e</w:t>
      </w:r>
      <w:r w:rsidRPr="005A74A1">
        <w:t xml:space="preserve"> licząc od dnia dostarczenia towaru Zamawiającemu. </w:t>
      </w:r>
    </w:p>
    <w:p w14:paraId="2E33AD4A" w14:textId="3AC5D6A6" w:rsidR="003D3EA5" w:rsidRPr="005A74A1" w:rsidRDefault="00850196" w:rsidP="005A74A1">
      <w:pPr>
        <w:numPr>
          <w:ilvl w:val="0"/>
          <w:numId w:val="2"/>
        </w:numPr>
        <w:spacing w:after="0" w:line="360" w:lineRule="auto"/>
        <w:ind w:left="533" w:hanging="408"/>
      </w:pPr>
      <w:r w:rsidRPr="005A74A1">
        <w:t>Dostawy produktów z krótszym terminem ważności mogą być dopuszczone w wyjątkowych sytuacjach</w:t>
      </w:r>
      <w:r w:rsidR="005A74A1" w:rsidRPr="005A74A1">
        <w:t xml:space="preserve">                              </w:t>
      </w:r>
      <w:r w:rsidRPr="005A74A1">
        <w:t xml:space="preserve"> i każdorazowo zgodę na nie musi wyrazić upoważniony przedstawiciel Zamawiającego. </w:t>
      </w:r>
    </w:p>
    <w:p w14:paraId="0F8BC3CE" w14:textId="60601DDC" w:rsidR="003D3EA5" w:rsidRPr="005A74A1" w:rsidRDefault="00850196" w:rsidP="005A74A1">
      <w:pPr>
        <w:numPr>
          <w:ilvl w:val="0"/>
          <w:numId w:val="2"/>
        </w:numPr>
        <w:spacing w:after="0" w:line="360" w:lineRule="auto"/>
        <w:ind w:left="533" w:hanging="408"/>
      </w:pPr>
      <w:r w:rsidRPr="005A74A1">
        <w:t>Adres dostawy: Apteka Szpitalna Uniwersyteckiego Centrum Klinicznego,</w:t>
      </w:r>
      <w:r w:rsidR="005A74A1" w:rsidRPr="005A74A1">
        <w:t xml:space="preserve"> </w:t>
      </w:r>
      <w:r w:rsidRPr="005A74A1">
        <w:t xml:space="preserve">80-214 Gdańsk, </w:t>
      </w:r>
      <w:r w:rsidR="005A74A1" w:rsidRPr="005A74A1">
        <w:t xml:space="preserve">                                                                                   </w:t>
      </w:r>
      <w:r w:rsidRPr="005A74A1">
        <w:t>ul</w:t>
      </w:r>
      <w:r w:rsidR="005A74A1" w:rsidRPr="005A74A1">
        <w:t>.</w:t>
      </w:r>
      <w:r w:rsidRPr="005A74A1">
        <w:t xml:space="preserve"> Smoluchowskiego 17 (Budynek CMI, parter). </w:t>
      </w:r>
    </w:p>
    <w:p w14:paraId="7FE37A18" w14:textId="7DCF2BBC" w:rsidR="003D3EA5" w:rsidRPr="005A74A1" w:rsidRDefault="00850196" w:rsidP="005A74A1">
      <w:pPr>
        <w:numPr>
          <w:ilvl w:val="0"/>
          <w:numId w:val="2"/>
        </w:numPr>
        <w:spacing w:after="0" w:line="360" w:lineRule="auto"/>
        <w:ind w:left="533" w:hanging="408"/>
      </w:pPr>
      <w:r w:rsidRPr="005A74A1">
        <w:t xml:space="preserve">Termin dostawy: </w:t>
      </w:r>
      <w:r w:rsidRPr="005A74A1">
        <w:rPr>
          <w:b/>
        </w:rPr>
        <w:t xml:space="preserve">w ciągu </w:t>
      </w:r>
      <w:r w:rsidR="008A3425" w:rsidRPr="005A74A1">
        <w:rPr>
          <w:b/>
        </w:rPr>
        <w:t>14</w:t>
      </w:r>
      <w:r w:rsidRPr="005A74A1">
        <w:rPr>
          <w:b/>
        </w:rPr>
        <w:t xml:space="preserve"> dni kalendarzowych</w:t>
      </w:r>
      <w:r w:rsidRPr="005A74A1">
        <w:t xml:space="preserve"> </w:t>
      </w:r>
      <w:r w:rsidR="006B1285" w:rsidRPr="005A74A1">
        <w:t>od daty złożenia zamówienia.</w:t>
      </w:r>
    </w:p>
    <w:p w14:paraId="54CFD6C4" w14:textId="3E930E9A" w:rsidR="003D3EA5" w:rsidRPr="005A74A1" w:rsidRDefault="00850196" w:rsidP="005A74A1">
      <w:pPr>
        <w:numPr>
          <w:ilvl w:val="0"/>
          <w:numId w:val="2"/>
        </w:numPr>
        <w:spacing w:after="0" w:line="360" w:lineRule="auto"/>
        <w:ind w:left="533" w:hanging="408"/>
      </w:pPr>
      <w:r w:rsidRPr="005A74A1">
        <w:t>Transport leku w warunkach kontrolowanych (</w:t>
      </w:r>
      <w:r w:rsidR="00827461" w:rsidRPr="005A74A1">
        <w:t xml:space="preserve">temperatura nie może przekroczyć </w:t>
      </w:r>
      <w:r w:rsidRPr="005A74A1">
        <w:t xml:space="preserve"> </w:t>
      </w:r>
      <w:r w:rsidR="00827461" w:rsidRPr="005A74A1">
        <w:t>25</w:t>
      </w:r>
      <w:r w:rsidRPr="005A74A1">
        <w:rPr>
          <w:vertAlign w:val="superscript"/>
        </w:rPr>
        <w:t>0</w:t>
      </w:r>
      <w:r w:rsidRPr="005A74A1">
        <w:t xml:space="preserve">C). Wykonawca jest zobowiązany transportować Produkty Lecznicze zgodnie z Dobrą Praktyką Dystrybucyjną.  </w:t>
      </w:r>
    </w:p>
    <w:p w14:paraId="558400A6" w14:textId="0BDEFF65" w:rsidR="005A74A1" w:rsidRPr="005A74A1" w:rsidRDefault="00850196" w:rsidP="005A74A1">
      <w:pPr>
        <w:numPr>
          <w:ilvl w:val="0"/>
          <w:numId w:val="2"/>
        </w:numPr>
        <w:spacing w:after="0" w:line="360" w:lineRule="auto"/>
        <w:ind w:left="533" w:hanging="408"/>
      </w:pPr>
      <w:r w:rsidRPr="005A74A1">
        <w:t xml:space="preserve">Warunkiem koniecznym do realizacji badania klinicznego – </w:t>
      </w:r>
      <w:r w:rsidR="00587276" w:rsidRPr="005A74A1">
        <w:rPr>
          <w:rFonts w:asciiTheme="minorHAnsi" w:hAnsiTheme="minorHAnsi" w:cstheme="minorHAnsi"/>
          <w:b/>
        </w:rPr>
        <w:t>„</w:t>
      </w:r>
      <w:r w:rsidR="00587276" w:rsidRPr="005A74A1">
        <w:rPr>
          <w:b/>
        </w:rPr>
        <w:t xml:space="preserve">Wieloośrodkowe, randomizowane badanie fazy II z zastosowaniem równoległych grup badanych oraz podwójnie ślepej próby i placebo, oceniające skuteczność i bezpieczeństwo </w:t>
      </w:r>
      <w:proofErr w:type="spellStart"/>
      <w:r w:rsidR="00587276" w:rsidRPr="005A74A1">
        <w:rPr>
          <w:b/>
        </w:rPr>
        <w:t>reperfuzyjnego</w:t>
      </w:r>
      <w:proofErr w:type="spellEnd"/>
      <w:r w:rsidR="00587276" w:rsidRPr="005A74A1">
        <w:rPr>
          <w:b/>
        </w:rPr>
        <w:t xml:space="preserve"> leczenia </w:t>
      </w:r>
      <w:proofErr w:type="spellStart"/>
      <w:r w:rsidR="00587276" w:rsidRPr="005A74A1">
        <w:rPr>
          <w:b/>
        </w:rPr>
        <w:t>trombolitycznego</w:t>
      </w:r>
      <w:proofErr w:type="spellEnd"/>
      <w:r w:rsidR="00587276" w:rsidRPr="005A74A1">
        <w:rPr>
          <w:b/>
        </w:rPr>
        <w:t xml:space="preserve"> z użyciem dożylnym</w:t>
      </w:r>
      <w:r w:rsidR="005A74A1" w:rsidRPr="005A74A1">
        <w:rPr>
          <w:b/>
        </w:rPr>
        <w:t xml:space="preserve"> </w:t>
      </w:r>
      <w:r w:rsidR="00587276" w:rsidRPr="005A74A1">
        <w:rPr>
          <w:b/>
        </w:rPr>
        <w:t>rekombinowanego aktywatora plazminogenu tkankowego (</w:t>
      </w:r>
      <w:proofErr w:type="spellStart"/>
      <w:r w:rsidR="00587276" w:rsidRPr="005A74A1">
        <w:rPr>
          <w:b/>
        </w:rPr>
        <w:t>rtPA</w:t>
      </w:r>
      <w:proofErr w:type="spellEnd"/>
      <w:r w:rsidR="00587276" w:rsidRPr="005A74A1">
        <w:rPr>
          <w:b/>
        </w:rPr>
        <w:t>) w udarze</w:t>
      </w:r>
    </w:p>
    <w:p w14:paraId="04F86FA8" w14:textId="77777777" w:rsidR="005A74A1" w:rsidRPr="005A74A1" w:rsidRDefault="005A74A1" w:rsidP="005A74A1">
      <w:pPr>
        <w:spacing w:after="0" w:line="360" w:lineRule="auto"/>
        <w:ind w:left="533" w:firstLine="0"/>
      </w:pPr>
    </w:p>
    <w:p w14:paraId="6FA0B752" w14:textId="023C11D0" w:rsidR="00DA0378" w:rsidRPr="005A74A1" w:rsidRDefault="00587276" w:rsidP="005A74A1">
      <w:pPr>
        <w:spacing w:after="0" w:line="360" w:lineRule="auto"/>
        <w:ind w:left="567" w:firstLine="0"/>
      </w:pPr>
      <w:r w:rsidRPr="005A74A1">
        <w:rPr>
          <w:b/>
        </w:rPr>
        <w:t>niedokrwiennym mózgu u pacjentów przyjmujących doustne leki przeciwzakrzepowe nie należące do grupy antagonistów witaminy K i po odwróceniu aktywności przeciwkrzepliwej specyficznym antidotum. STROACT (</w:t>
      </w:r>
      <w:proofErr w:type="spellStart"/>
      <w:r w:rsidRPr="005A74A1">
        <w:rPr>
          <w:b/>
        </w:rPr>
        <w:t>STRoke</w:t>
      </w:r>
      <w:proofErr w:type="spellEnd"/>
      <w:r w:rsidRPr="005A74A1">
        <w:rPr>
          <w:b/>
        </w:rPr>
        <w:t xml:space="preserve"> on </w:t>
      </w:r>
      <w:proofErr w:type="spellStart"/>
      <w:r w:rsidRPr="005A74A1">
        <w:rPr>
          <w:b/>
        </w:rPr>
        <w:t>Oral</w:t>
      </w:r>
      <w:proofErr w:type="spellEnd"/>
      <w:r w:rsidRPr="005A74A1">
        <w:rPr>
          <w:b/>
        </w:rPr>
        <w:t xml:space="preserve"> </w:t>
      </w:r>
      <w:proofErr w:type="spellStart"/>
      <w:r w:rsidRPr="005A74A1">
        <w:rPr>
          <w:b/>
        </w:rPr>
        <w:t>AntiCoagulants</w:t>
      </w:r>
      <w:proofErr w:type="spellEnd"/>
      <w:r w:rsidRPr="005A74A1">
        <w:rPr>
          <w:b/>
        </w:rPr>
        <w:t xml:space="preserve"> for </w:t>
      </w:r>
      <w:proofErr w:type="spellStart"/>
      <w:r w:rsidRPr="005A74A1">
        <w:rPr>
          <w:b/>
        </w:rPr>
        <w:t>Thrombolysis</w:t>
      </w:r>
      <w:proofErr w:type="spellEnd"/>
      <w:r w:rsidRPr="005A74A1">
        <w:rPr>
          <w:b/>
        </w:rPr>
        <w:t>)”</w:t>
      </w:r>
      <w:r w:rsidR="00850196" w:rsidRPr="005A74A1">
        <w:t xml:space="preserve">jest dostępność produktów leczniczych zawierających w swoim składzie substancje czynne:  </w:t>
      </w:r>
      <w:proofErr w:type="spellStart"/>
      <w:r w:rsidRPr="005A74A1">
        <w:t>alteplazy</w:t>
      </w:r>
      <w:proofErr w:type="spellEnd"/>
      <w:r w:rsidR="00850196" w:rsidRPr="005A74A1">
        <w:rPr>
          <w:b/>
        </w:rPr>
        <w:t xml:space="preserve"> (</w:t>
      </w:r>
      <w:proofErr w:type="spellStart"/>
      <w:r w:rsidR="006B1285" w:rsidRPr="005A74A1">
        <w:t>rtPA</w:t>
      </w:r>
      <w:proofErr w:type="spellEnd"/>
      <w:r w:rsidR="006B1285" w:rsidRPr="005A74A1">
        <w:t xml:space="preserve"> </w:t>
      </w:r>
      <w:proofErr w:type="spellStart"/>
      <w:r w:rsidR="006B1285" w:rsidRPr="005A74A1">
        <w:t>Act</w:t>
      </w:r>
      <w:r w:rsidRPr="005A74A1">
        <w:t>ilyse</w:t>
      </w:r>
      <w:proofErr w:type="spellEnd"/>
      <w:r w:rsidR="006B1285" w:rsidRPr="005A74A1">
        <w:t xml:space="preserve"> 10, 10 mg proszek i rozpuszczalnik do sporządzenia roztworu do </w:t>
      </w:r>
      <w:r w:rsidR="006B1285" w:rsidRPr="005A74A1">
        <w:rPr>
          <w:rFonts w:asciiTheme="minorHAnsi" w:hAnsiTheme="minorHAnsi" w:cstheme="minorHAnsi"/>
        </w:rPr>
        <w:t xml:space="preserve">infuzji oraz </w:t>
      </w:r>
      <w:proofErr w:type="spellStart"/>
      <w:r w:rsidR="006B1285" w:rsidRPr="005A74A1">
        <w:rPr>
          <w:rFonts w:asciiTheme="minorHAnsi" w:hAnsiTheme="minorHAnsi" w:cstheme="minorHAnsi"/>
        </w:rPr>
        <w:t>rtPA</w:t>
      </w:r>
      <w:proofErr w:type="spellEnd"/>
      <w:r w:rsidR="006B1285" w:rsidRPr="005A74A1">
        <w:rPr>
          <w:rFonts w:asciiTheme="minorHAnsi" w:hAnsiTheme="minorHAnsi" w:cstheme="minorHAnsi"/>
        </w:rPr>
        <w:t xml:space="preserve"> </w:t>
      </w:r>
      <w:proofErr w:type="spellStart"/>
      <w:r w:rsidR="006B1285" w:rsidRPr="005A74A1">
        <w:rPr>
          <w:rFonts w:asciiTheme="minorHAnsi" w:hAnsiTheme="minorHAnsi" w:cstheme="minorHAnsi"/>
        </w:rPr>
        <w:t>Act</w:t>
      </w:r>
      <w:r w:rsidRPr="005A74A1">
        <w:rPr>
          <w:rFonts w:asciiTheme="minorHAnsi" w:hAnsiTheme="minorHAnsi" w:cstheme="minorHAnsi"/>
        </w:rPr>
        <w:t>ilyse</w:t>
      </w:r>
      <w:proofErr w:type="spellEnd"/>
      <w:r w:rsidR="006B1285" w:rsidRPr="005A74A1">
        <w:rPr>
          <w:rFonts w:asciiTheme="minorHAnsi" w:hAnsiTheme="minorHAnsi" w:cstheme="minorHAnsi"/>
        </w:rPr>
        <w:t xml:space="preserve"> 20, 20 mg proszek i rozpuszczalnik do sporządzenia roztworu do infuzji</w:t>
      </w:r>
    </w:p>
    <w:p w14:paraId="03A5BF73" w14:textId="77777777" w:rsidR="003D3EA5" w:rsidRPr="005A74A1" w:rsidRDefault="00850196" w:rsidP="005A74A1">
      <w:pPr>
        <w:pStyle w:val="Akapitzlist"/>
        <w:numPr>
          <w:ilvl w:val="0"/>
          <w:numId w:val="6"/>
        </w:numPr>
        <w:spacing w:after="0" w:line="360" w:lineRule="auto"/>
        <w:ind w:left="567" w:hanging="425"/>
      </w:pPr>
      <w:r w:rsidRPr="005A74A1">
        <w:t>Zamawiający oświadcza, że ilekroć w SWZ zostały użyte nazwy handlowe leku, to Zmawiający uczynił to zgodnie z art. 101 ust. 4 ustawy z dnia 11 września 2019 – Prawo zamówień publicznych. W związku z powyższym  dopuszcza się zaoferowanie tych leków jak i leków równoważnych, przez co należy rozumieć leki identyczne pod względem sposobu wytwarzania, substancji czynnej, dawki oraz substancji pomocniczych użytych do wytworzenia leku. Ze względu na kontynuację badania leki muszą posiadać również tą samą postać farmaceutyczną, wskazania, właściwości farmakologiczne (w tym farmakodynamiczne oraz farmakokinetyczne) a także sposób podania zgodnie z Charakterystyką Produktu Leczniczego stanowiącego</w:t>
      </w:r>
      <w:r w:rsidRPr="005A74A1">
        <w:rPr>
          <w:b/>
        </w:rPr>
        <w:t xml:space="preserve"> załącznik do SWZ.</w:t>
      </w:r>
      <w:r w:rsidRPr="005A74A1">
        <w:t xml:space="preserve"> Jest to niezbędne dla zapewnienia integralności, miarodajności i wiarygodności badania klinicznego oraz bezpieczeństwa uczestników biorących udział w badaniu.   </w:t>
      </w:r>
    </w:p>
    <w:p w14:paraId="24960244" w14:textId="0D0DD9DF" w:rsidR="00DA0378" w:rsidRPr="005A74A1" w:rsidRDefault="00DA0378" w:rsidP="005A74A1">
      <w:pPr>
        <w:numPr>
          <w:ilvl w:val="0"/>
          <w:numId w:val="6"/>
        </w:numPr>
        <w:spacing w:after="3" w:line="369" w:lineRule="auto"/>
        <w:ind w:left="567" w:hanging="567"/>
      </w:pPr>
      <w:r w:rsidRPr="005A74A1">
        <w:t xml:space="preserve">Badany produkt leczniczy musi być dopuszczony do obrotu gospodarczego na terenie RP; dopuszcza się pozyskanie produktów badanych przeznaczonych do użycia w niekomercyjnym badaniu klinicznych z rynków UE lub spoza UE. W takiej sytuacji, wykonawca zobowiązany jest do przygotowania dokumentacji wymaganej przepisami prawa umożliwiającej wykorzystanie Badanego Produktu Leczniczego w Niekomercyjnym Badaniu Klinicznym. </w:t>
      </w:r>
    </w:p>
    <w:p w14:paraId="547A62F6" w14:textId="676BEC98" w:rsidR="00DA0378" w:rsidRDefault="00850196" w:rsidP="005A74A1">
      <w:pPr>
        <w:spacing w:after="134" w:line="259" w:lineRule="auto"/>
        <w:ind w:left="355"/>
        <w:jc w:val="left"/>
        <w:rPr>
          <w:b/>
        </w:rPr>
      </w:pPr>
      <w:r w:rsidRPr="005A74A1">
        <w:rPr>
          <w:b/>
        </w:rPr>
        <w:t xml:space="preserve">Wymagane jest podanie nazw handlowych oferowanych produktów leczniczych.  </w:t>
      </w:r>
    </w:p>
    <w:p w14:paraId="32605FFB" w14:textId="77777777" w:rsidR="005A74A1" w:rsidRPr="005A74A1" w:rsidRDefault="005A74A1" w:rsidP="005A74A1">
      <w:pPr>
        <w:spacing w:after="134" w:line="259" w:lineRule="auto"/>
        <w:ind w:left="355"/>
        <w:jc w:val="left"/>
        <w:rPr>
          <w:b/>
        </w:rPr>
      </w:pPr>
    </w:p>
    <w:p w14:paraId="2B6E5C87" w14:textId="5C0A2EDC" w:rsidR="00DA0378" w:rsidRPr="005A74A1" w:rsidRDefault="005A74A1" w:rsidP="005A74A1">
      <w:pPr>
        <w:tabs>
          <w:tab w:val="right" w:pos="9072"/>
        </w:tabs>
        <w:spacing w:after="0" w:line="360" w:lineRule="auto"/>
        <w:rPr>
          <w:rFonts w:asciiTheme="minorHAnsi" w:hAnsiTheme="minorHAnsi" w:cstheme="minorHAnsi"/>
          <w:b/>
        </w:rPr>
      </w:pPr>
      <w:r w:rsidRPr="005A74A1">
        <w:rPr>
          <w:rFonts w:asciiTheme="minorHAnsi" w:hAnsiTheme="minorHAnsi" w:cstheme="minorHAnsi"/>
          <w:b/>
        </w:rPr>
        <w:t xml:space="preserve"> </w:t>
      </w:r>
      <w:r w:rsidR="00DA0378" w:rsidRPr="005A74A1">
        <w:rPr>
          <w:rFonts w:asciiTheme="minorHAnsi" w:hAnsiTheme="minorHAnsi" w:cstheme="minorHAnsi"/>
          <w:b/>
        </w:rPr>
        <w:t>PODSTAWOWE INFORMACJE DOT. NIEKOMERCYJNEGO BADANIA KLINICZNEGO</w:t>
      </w:r>
    </w:p>
    <w:p w14:paraId="79592BEE" w14:textId="6CF7507B" w:rsidR="00827461" w:rsidRPr="005A74A1" w:rsidRDefault="00850196" w:rsidP="00921967">
      <w:pPr>
        <w:pStyle w:val="Akapitzlist"/>
        <w:numPr>
          <w:ilvl w:val="0"/>
          <w:numId w:val="8"/>
        </w:numPr>
        <w:spacing w:after="0" w:line="360" w:lineRule="auto"/>
        <w:ind w:left="426" w:hanging="284"/>
        <w:rPr>
          <w:rFonts w:asciiTheme="minorHAnsi" w:hAnsiTheme="minorHAnsi"/>
        </w:rPr>
      </w:pPr>
      <w:r w:rsidRPr="005A74A1">
        <w:rPr>
          <w:rFonts w:asciiTheme="minorHAnsi" w:hAnsiTheme="minorHAnsi"/>
        </w:rPr>
        <w:t xml:space="preserve"> </w:t>
      </w:r>
      <w:r w:rsidR="006A1A18" w:rsidRPr="005A74A1">
        <w:rPr>
          <w:rFonts w:asciiTheme="minorHAnsi" w:hAnsiTheme="minorHAnsi"/>
        </w:rPr>
        <w:t xml:space="preserve">„Wieloośrodkowe, randomizowane badanie fazy II z zastosowaniem równoległych grup badanych oraz podwójnie ślepej próby i placebo, oceniające skuteczność i bezpieczeństwo </w:t>
      </w:r>
      <w:proofErr w:type="spellStart"/>
      <w:r w:rsidR="006A1A18" w:rsidRPr="005A74A1">
        <w:rPr>
          <w:rFonts w:asciiTheme="minorHAnsi" w:hAnsiTheme="minorHAnsi"/>
        </w:rPr>
        <w:t>reperfuzyjnego</w:t>
      </w:r>
      <w:proofErr w:type="spellEnd"/>
      <w:r w:rsidR="006A1A18" w:rsidRPr="005A74A1">
        <w:rPr>
          <w:rFonts w:asciiTheme="minorHAnsi" w:hAnsiTheme="minorHAnsi"/>
        </w:rPr>
        <w:t xml:space="preserve"> leczenia </w:t>
      </w:r>
      <w:proofErr w:type="spellStart"/>
      <w:r w:rsidR="006A1A18" w:rsidRPr="005A74A1">
        <w:rPr>
          <w:rFonts w:asciiTheme="minorHAnsi" w:hAnsiTheme="minorHAnsi"/>
        </w:rPr>
        <w:t>trombolitycznego</w:t>
      </w:r>
      <w:proofErr w:type="spellEnd"/>
      <w:r w:rsidR="006A1A18" w:rsidRPr="005A74A1">
        <w:rPr>
          <w:rFonts w:asciiTheme="minorHAnsi" w:hAnsiTheme="minorHAnsi"/>
        </w:rPr>
        <w:t xml:space="preserve"> z użyciem dożylnym rekombinowanego aktywatora plazminogenu tkankowego (</w:t>
      </w:r>
      <w:proofErr w:type="spellStart"/>
      <w:r w:rsidR="006A1A18" w:rsidRPr="005A74A1">
        <w:rPr>
          <w:rFonts w:asciiTheme="minorHAnsi" w:hAnsiTheme="minorHAnsi"/>
        </w:rPr>
        <w:t>rtPA</w:t>
      </w:r>
      <w:proofErr w:type="spellEnd"/>
      <w:r w:rsidR="006A1A18" w:rsidRPr="005A74A1">
        <w:rPr>
          <w:rFonts w:asciiTheme="minorHAnsi" w:hAnsiTheme="minorHAnsi"/>
        </w:rPr>
        <w:t>) w udarze niedokrwiennym mózgu u pacjentów przyjmujących doustne leki przeciwzakrzepowe nie należące do grupy antagonistów witaminy K i po odwróceniu aktywności przeciwkrzepliwej specyficznym antidotum. STROACT (</w:t>
      </w:r>
      <w:proofErr w:type="spellStart"/>
      <w:r w:rsidR="006A1A18" w:rsidRPr="005A74A1">
        <w:rPr>
          <w:rFonts w:asciiTheme="minorHAnsi" w:hAnsiTheme="minorHAnsi"/>
        </w:rPr>
        <w:t>STRoke</w:t>
      </w:r>
      <w:proofErr w:type="spellEnd"/>
      <w:r w:rsidR="006A1A18" w:rsidRPr="005A74A1">
        <w:rPr>
          <w:rFonts w:asciiTheme="minorHAnsi" w:hAnsiTheme="minorHAnsi"/>
        </w:rPr>
        <w:t xml:space="preserve"> on </w:t>
      </w:r>
      <w:proofErr w:type="spellStart"/>
      <w:r w:rsidR="006A1A18" w:rsidRPr="005A74A1">
        <w:rPr>
          <w:rFonts w:asciiTheme="minorHAnsi" w:hAnsiTheme="minorHAnsi"/>
        </w:rPr>
        <w:t>Oral</w:t>
      </w:r>
      <w:proofErr w:type="spellEnd"/>
      <w:r w:rsidR="006A1A18" w:rsidRPr="005A74A1">
        <w:rPr>
          <w:rFonts w:asciiTheme="minorHAnsi" w:hAnsiTheme="minorHAnsi"/>
        </w:rPr>
        <w:t xml:space="preserve"> </w:t>
      </w:r>
      <w:proofErr w:type="spellStart"/>
      <w:r w:rsidR="006A1A18" w:rsidRPr="005A74A1">
        <w:rPr>
          <w:rFonts w:asciiTheme="minorHAnsi" w:hAnsiTheme="minorHAnsi"/>
        </w:rPr>
        <w:t>AntiCoagulants</w:t>
      </w:r>
      <w:proofErr w:type="spellEnd"/>
      <w:r w:rsidR="006A1A18" w:rsidRPr="005A74A1">
        <w:rPr>
          <w:rFonts w:asciiTheme="minorHAnsi" w:hAnsiTheme="minorHAnsi"/>
        </w:rPr>
        <w:t xml:space="preserve"> for </w:t>
      </w:r>
      <w:proofErr w:type="spellStart"/>
      <w:r w:rsidR="006A1A18" w:rsidRPr="005A74A1">
        <w:rPr>
          <w:rFonts w:asciiTheme="minorHAnsi" w:hAnsiTheme="minorHAnsi"/>
        </w:rPr>
        <w:t>Thrombolysis</w:t>
      </w:r>
      <w:proofErr w:type="spellEnd"/>
      <w:r w:rsidR="006A1A18" w:rsidRPr="005A74A1">
        <w:rPr>
          <w:rFonts w:asciiTheme="minorHAnsi" w:hAnsiTheme="minorHAnsi"/>
        </w:rPr>
        <w:t>)”</w:t>
      </w:r>
      <w:r w:rsidR="00827461" w:rsidRPr="005A74A1">
        <w:rPr>
          <w:rFonts w:asciiTheme="minorHAnsi" w:hAnsiTheme="minorHAnsi"/>
        </w:rPr>
        <w:t>.</w:t>
      </w:r>
    </w:p>
    <w:p w14:paraId="461FEA47" w14:textId="77777777" w:rsidR="00827461" w:rsidRPr="005A74A1" w:rsidRDefault="006A1A18" w:rsidP="005A74A1">
      <w:pPr>
        <w:pStyle w:val="Akapitzlist"/>
        <w:numPr>
          <w:ilvl w:val="0"/>
          <w:numId w:val="8"/>
        </w:numPr>
        <w:spacing w:after="0" w:line="360" w:lineRule="auto"/>
        <w:rPr>
          <w:rFonts w:asciiTheme="minorHAnsi" w:hAnsiTheme="minorHAnsi"/>
        </w:rPr>
      </w:pPr>
      <w:r w:rsidRPr="005A74A1">
        <w:rPr>
          <w:rFonts w:asciiTheme="minorHAnsi" w:hAnsiTheme="minorHAnsi"/>
        </w:rPr>
        <w:t>Badanie finansowane z funduszy Agencji Badań Medycznych w ramach grantu 2019/ABM/01/00084</w:t>
      </w:r>
    </w:p>
    <w:p w14:paraId="30CEB6A0" w14:textId="154D00AF" w:rsidR="006A1A18" w:rsidRPr="005A74A1" w:rsidRDefault="006A1A18" w:rsidP="005A74A1">
      <w:pPr>
        <w:pStyle w:val="Akapitzlist"/>
        <w:numPr>
          <w:ilvl w:val="0"/>
          <w:numId w:val="8"/>
        </w:numPr>
        <w:spacing w:after="0" w:line="360" w:lineRule="auto"/>
        <w:rPr>
          <w:rFonts w:asciiTheme="minorHAnsi" w:hAnsiTheme="minorHAnsi"/>
        </w:rPr>
      </w:pPr>
      <w:r w:rsidRPr="005A74A1">
        <w:rPr>
          <w:rFonts w:asciiTheme="minorHAnsi" w:hAnsiTheme="minorHAnsi"/>
        </w:rPr>
        <w:t>Wszelkie informację o badaniu dostępne na stronie:</w:t>
      </w:r>
    </w:p>
    <w:p w14:paraId="7DB13494" w14:textId="6AC3A57C" w:rsidR="003D3EA5" w:rsidRPr="00921967" w:rsidRDefault="00D30760" w:rsidP="00921967">
      <w:pPr>
        <w:spacing w:after="0" w:line="360" w:lineRule="auto"/>
        <w:ind w:left="360" w:firstLine="0"/>
        <w:rPr>
          <w:rFonts w:asciiTheme="minorHAnsi" w:hAnsiTheme="minorHAnsi"/>
        </w:rPr>
      </w:pPr>
      <w:hyperlink r:id="rId7" w:history="1">
        <w:r w:rsidR="006A1A18" w:rsidRPr="005A74A1">
          <w:rPr>
            <w:rStyle w:val="Hipercze"/>
            <w:rFonts w:asciiTheme="minorHAnsi" w:hAnsiTheme="minorHAnsi"/>
          </w:rPr>
          <w:t>https://www.clinicaltrialsregister.eu/ctr-search/trial/2020-004898-41/PL</w:t>
        </w:r>
      </w:hyperlink>
      <w:bookmarkStart w:id="0" w:name="_GoBack"/>
      <w:bookmarkEnd w:id="0"/>
    </w:p>
    <w:sectPr w:rsidR="003D3EA5" w:rsidRPr="00921967" w:rsidSect="005A74A1">
      <w:headerReference w:type="even" r:id="rId8"/>
      <w:headerReference w:type="default" r:id="rId9"/>
      <w:headerReference w:type="first" r:id="rId10"/>
      <w:pgSz w:w="11906" w:h="16838"/>
      <w:pgMar w:top="1702" w:right="991" w:bottom="1156" w:left="1056" w:header="49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6AB5A" w14:textId="77777777" w:rsidR="00D30760" w:rsidRDefault="00D30760">
      <w:pPr>
        <w:spacing w:after="0" w:line="240" w:lineRule="auto"/>
      </w:pPr>
      <w:r>
        <w:separator/>
      </w:r>
    </w:p>
  </w:endnote>
  <w:endnote w:type="continuationSeparator" w:id="0">
    <w:p w14:paraId="3484BA50" w14:textId="77777777" w:rsidR="00D30760" w:rsidRDefault="00D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C776" w14:textId="77777777" w:rsidR="00D30760" w:rsidRDefault="00D30760">
      <w:pPr>
        <w:spacing w:after="0" w:line="240" w:lineRule="auto"/>
      </w:pPr>
      <w:r>
        <w:separator/>
      </w:r>
    </w:p>
  </w:footnote>
  <w:footnote w:type="continuationSeparator" w:id="0">
    <w:p w14:paraId="1D6713B7" w14:textId="77777777" w:rsidR="00D30760" w:rsidRDefault="00D3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B5C8" w14:textId="77777777" w:rsidR="003D3EA5" w:rsidRDefault="00850196">
    <w:pPr>
      <w:spacing w:after="0" w:line="259" w:lineRule="auto"/>
      <w:ind w:left="361" w:firstLine="0"/>
      <w:jc w:val="left"/>
    </w:pPr>
    <w:r>
      <w:rPr>
        <w:noProof/>
      </w:rPr>
      <w:drawing>
        <wp:anchor distT="0" distB="0" distL="114300" distR="114300" simplePos="0" relativeHeight="251658240" behindDoc="0" locked="0" layoutInCell="1" allowOverlap="0" wp14:anchorId="1D2A941E" wp14:editId="0580FC39">
          <wp:simplePos x="0" y="0"/>
          <wp:positionH relativeFrom="page">
            <wp:posOffset>899795</wp:posOffset>
          </wp:positionH>
          <wp:positionV relativeFrom="page">
            <wp:posOffset>449580</wp:posOffset>
          </wp:positionV>
          <wp:extent cx="1657350" cy="733425"/>
          <wp:effectExtent l="0" t="0" r="0" b="0"/>
          <wp:wrapSquare wrapText="bothSides"/>
          <wp:docPr id="3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57350" cy="733425"/>
                  </a:xfrm>
                  <a:prstGeom prst="rect">
                    <a:avLst/>
                  </a:prstGeom>
                </pic:spPr>
              </pic:pic>
            </a:graphicData>
          </a:graphic>
        </wp:anchor>
      </w:drawing>
    </w:r>
    <w:r>
      <w:rPr>
        <w:noProof/>
      </w:rPr>
      <w:drawing>
        <wp:anchor distT="0" distB="0" distL="114300" distR="114300" simplePos="0" relativeHeight="251659264" behindDoc="0" locked="0" layoutInCell="1" allowOverlap="0" wp14:anchorId="4058C876" wp14:editId="290F21B9">
          <wp:simplePos x="0" y="0"/>
          <wp:positionH relativeFrom="page">
            <wp:posOffset>4933950</wp:posOffset>
          </wp:positionH>
          <wp:positionV relativeFrom="page">
            <wp:posOffset>314325</wp:posOffset>
          </wp:positionV>
          <wp:extent cx="1609725" cy="876300"/>
          <wp:effectExtent l="0" t="0" r="0" b="0"/>
          <wp:wrapSquare wrapText="bothSides"/>
          <wp:docPr id="3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609725" cy="87630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6A41" w14:textId="77777777" w:rsidR="003D3EA5" w:rsidRDefault="00850196">
    <w:pPr>
      <w:spacing w:after="0" w:line="259" w:lineRule="auto"/>
      <w:ind w:left="361" w:firstLine="0"/>
      <w:jc w:val="left"/>
    </w:pPr>
    <w:r>
      <w:rPr>
        <w:noProof/>
      </w:rPr>
      <w:drawing>
        <wp:anchor distT="0" distB="0" distL="114300" distR="114300" simplePos="0" relativeHeight="251660288" behindDoc="0" locked="0" layoutInCell="1" allowOverlap="0" wp14:anchorId="448D7B4A" wp14:editId="02BFB1DC">
          <wp:simplePos x="0" y="0"/>
          <wp:positionH relativeFrom="page">
            <wp:posOffset>899795</wp:posOffset>
          </wp:positionH>
          <wp:positionV relativeFrom="page">
            <wp:posOffset>449580</wp:posOffset>
          </wp:positionV>
          <wp:extent cx="1657350" cy="733425"/>
          <wp:effectExtent l="0" t="0" r="0" b="0"/>
          <wp:wrapSquare wrapText="bothSides"/>
          <wp:docPr id="3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57350" cy="733425"/>
                  </a:xfrm>
                  <a:prstGeom prst="rect">
                    <a:avLst/>
                  </a:prstGeom>
                </pic:spPr>
              </pic:pic>
            </a:graphicData>
          </a:graphic>
        </wp:anchor>
      </w:drawing>
    </w:r>
    <w:r>
      <w:rPr>
        <w:noProof/>
      </w:rPr>
      <w:drawing>
        <wp:anchor distT="0" distB="0" distL="114300" distR="114300" simplePos="0" relativeHeight="251661312" behindDoc="0" locked="0" layoutInCell="1" allowOverlap="0" wp14:anchorId="0F16EE96" wp14:editId="7DCBA3AB">
          <wp:simplePos x="0" y="0"/>
          <wp:positionH relativeFrom="page">
            <wp:posOffset>4933950</wp:posOffset>
          </wp:positionH>
          <wp:positionV relativeFrom="page">
            <wp:posOffset>314325</wp:posOffset>
          </wp:positionV>
          <wp:extent cx="1609725" cy="876300"/>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609725" cy="87630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7647" w14:textId="77777777" w:rsidR="003D3EA5" w:rsidRDefault="00850196">
    <w:pPr>
      <w:spacing w:after="0" w:line="259" w:lineRule="auto"/>
      <w:ind w:left="361" w:firstLine="0"/>
      <w:jc w:val="left"/>
    </w:pPr>
    <w:r>
      <w:rPr>
        <w:noProof/>
      </w:rPr>
      <w:drawing>
        <wp:anchor distT="0" distB="0" distL="114300" distR="114300" simplePos="0" relativeHeight="251662336" behindDoc="0" locked="0" layoutInCell="1" allowOverlap="0" wp14:anchorId="0852CA4A" wp14:editId="6B273366">
          <wp:simplePos x="0" y="0"/>
          <wp:positionH relativeFrom="page">
            <wp:posOffset>899795</wp:posOffset>
          </wp:positionH>
          <wp:positionV relativeFrom="page">
            <wp:posOffset>449580</wp:posOffset>
          </wp:positionV>
          <wp:extent cx="1657350" cy="733425"/>
          <wp:effectExtent l="0" t="0" r="0" b="0"/>
          <wp:wrapSquare wrapText="bothSides"/>
          <wp:docPr id="4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57350" cy="733425"/>
                  </a:xfrm>
                  <a:prstGeom prst="rect">
                    <a:avLst/>
                  </a:prstGeom>
                </pic:spPr>
              </pic:pic>
            </a:graphicData>
          </a:graphic>
        </wp:anchor>
      </w:drawing>
    </w:r>
    <w:r>
      <w:rPr>
        <w:noProof/>
      </w:rPr>
      <w:drawing>
        <wp:anchor distT="0" distB="0" distL="114300" distR="114300" simplePos="0" relativeHeight="251663360" behindDoc="0" locked="0" layoutInCell="1" allowOverlap="0" wp14:anchorId="59EBCAF0" wp14:editId="45D52ED5">
          <wp:simplePos x="0" y="0"/>
          <wp:positionH relativeFrom="page">
            <wp:posOffset>4933950</wp:posOffset>
          </wp:positionH>
          <wp:positionV relativeFrom="page">
            <wp:posOffset>314325</wp:posOffset>
          </wp:positionV>
          <wp:extent cx="1609725" cy="876300"/>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609725" cy="87630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C08"/>
    <w:multiLevelType w:val="hybridMultilevel"/>
    <w:tmpl w:val="4FB8B794"/>
    <w:lvl w:ilvl="0" w:tplc="2118F050">
      <w:start w:val="1"/>
      <w:numFmt w:val="decimal"/>
      <w:lvlText w:val="%1."/>
      <w:lvlJc w:val="left"/>
      <w:pPr>
        <w:ind w:left="461"/>
      </w:pPr>
      <w:rPr>
        <w:rFonts w:asciiTheme="minorHAnsi" w:eastAsia="Calibri" w:hAnsiTheme="minorHAnsi" w:cs="Calibri" w:hint="default"/>
        <w:b w:val="0"/>
        <w:i w:val="0"/>
        <w:strike w:val="0"/>
        <w:dstrike w:val="0"/>
        <w:color w:val="000000"/>
        <w:sz w:val="22"/>
        <w:szCs w:val="22"/>
        <w:u w:val="none" w:color="000000"/>
        <w:bdr w:val="none" w:sz="0" w:space="0" w:color="auto"/>
        <w:shd w:val="clear" w:color="auto" w:fill="auto"/>
        <w:vertAlign w:val="baseline"/>
      </w:rPr>
    </w:lvl>
    <w:lvl w:ilvl="1" w:tplc="734219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C8C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6E40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F00C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26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1CC7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00DE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0265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CD6DDE"/>
    <w:multiLevelType w:val="hybridMultilevel"/>
    <w:tmpl w:val="370875CE"/>
    <w:lvl w:ilvl="0" w:tplc="D2A20E4E">
      <w:start w:val="1"/>
      <w:numFmt w:val="decimal"/>
      <w:lvlText w:val="%1."/>
      <w:lvlJc w:val="left"/>
      <w:pPr>
        <w:ind w:left="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23A62">
      <w:start w:val="3"/>
      <w:numFmt w:val="upperLetter"/>
      <w:lvlText w:val="%2."/>
      <w:lvlJc w:val="left"/>
      <w:pPr>
        <w:ind w:left="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30AA8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7C857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4FED76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AF2143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99C4F3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1DC12B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E78069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A735A7"/>
    <w:multiLevelType w:val="hybridMultilevel"/>
    <w:tmpl w:val="25CE99D0"/>
    <w:lvl w:ilvl="0" w:tplc="446AF750">
      <w:start w:val="1"/>
      <w:numFmt w:val="decimal"/>
      <w:lvlText w:val="%1."/>
      <w:lvlJc w:val="left"/>
      <w:pPr>
        <w:ind w:left="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6A6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2AEE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EB1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62F6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921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6F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C2E2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618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977FB1"/>
    <w:multiLevelType w:val="hybridMultilevel"/>
    <w:tmpl w:val="77C2C2FE"/>
    <w:lvl w:ilvl="0" w:tplc="E67EFC9C">
      <w:start w:val="9"/>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 w15:restartNumberingAfterBreak="0">
    <w:nsid w:val="2FC31655"/>
    <w:multiLevelType w:val="hybridMultilevel"/>
    <w:tmpl w:val="78A01BF6"/>
    <w:lvl w:ilvl="0" w:tplc="72964E18">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 w15:restartNumberingAfterBreak="0">
    <w:nsid w:val="643C1F1C"/>
    <w:multiLevelType w:val="hybridMultilevel"/>
    <w:tmpl w:val="3F2E5728"/>
    <w:lvl w:ilvl="0" w:tplc="3266BEE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AA9A4">
      <w:start w:val="1"/>
      <w:numFmt w:val="bullet"/>
      <w:lvlText w:val="o"/>
      <w:lvlJc w:val="left"/>
      <w:pPr>
        <w:ind w:left="1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EAEB6">
      <w:start w:val="1"/>
      <w:numFmt w:val="bullet"/>
      <w:lvlText w:val="▪"/>
      <w:lvlJc w:val="left"/>
      <w:pPr>
        <w:ind w:left="2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6DCB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60B44">
      <w:start w:val="1"/>
      <w:numFmt w:val="bullet"/>
      <w:lvlText w:val="o"/>
      <w:lvlJc w:val="left"/>
      <w:pPr>
        <w:ind w:left="3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CE4EB4">
      <w:start w:val="1"/>
      <w:numFmt w:val="bullet"/>
      <w:lvlText w:val="▪"/>
      <w:lvlJc w:val="left"/>
      <w:pPr>
        <w:ind w:left="4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DAD378">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6A5B2">
      <w:start w:val="1"/>
      <w:numFmt w:val="bullet"/>
      <w:lvlText w:val="o"/>
      <w:lvlJc w:val="left"/>
      <w:pPr>
        <w:ind w:left="5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C86CE">
      <w:start w:val="1"/>
      <w:numFmt w:val="bullet"/>
      <w:lvlText w:val="▪"/>
      <w:lvlJc w:val="left"/>
      <w:pPr>
        <w:ind w:left="6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3453D2"/>
    <w:multiLevelType w:val="hybridMultilevel"/>
    <w:tmpl w:val="5C9EA36A"/>
    <w:lvl w:ilvl="0" w:tplc="A1C8E344">
      <w:start w:val="3"/>
      <w:numFmt w:val="decimal"/>
      <w:lvlText w:val="%1."/>
      <w:lvlJc w:val="left"/>
      <w:pPr>
        <w:ind w:left="537"/>
      </w:pPr>
      <w:rPr>
        <w:rFonts w:asciiTheme="minorHAnsi" w:eastAsia="Calibri" w:hAnsiTheme="minorHAnsi" w:cs="Calibri" w:hint="default"/>
        <w:b w:val="0"/>
        <w:i w:val="0"/>
        <w:strike w:val="0"/>
        <w:dstrike w:val="0"/>
        <w:color w:val="000000"/>
        <w:sz w:val="22"/>
        <w:szCs w:val="22"/>
        <w:u w:val="none" w:color="000000"/>
        <w:bdr w:val="none" w:sz="0" w:space="0" w:color="auto"/>
        <w:shd w:val="clear" w:color="auto" w:fill="auto"/>
        <w:vertAlign w:val="baseline"/>
      </w:rPr>
    </w:lvl>
    <w:lvl w:ilvl="1" w:tplc="71D8FAF8">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89C78">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8CF12">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8C9866">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6C0C54">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544D22">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28DCA">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4C8D86">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7D6832"/>
    <w:multiLevelType w:val="hybridMultilevel"/>
    <w:tmpl w:val="17243610"/>
    <w:lvl w:ilvl="0" w:tplc="96A0E3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ECAE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0A0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12C9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85A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E2A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A37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A69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B6A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A5"/>
    <w:rsid w:val="00062C91"/>
    <w:rsid w:val="002D790B"/>
    <w:rsid w:val="00355C67"/>
    <w:rsid w:val="003D3EA5"/>
    <w:rsid w:val="0043425E"/>
    <w:rsid w:val="005750E1"/>
    <w:rsid w:val="00587276"/>
    <w:rsid w:val="005A74A1"/>
    <w:rsid w:val="006A1A18"/>
    <w:rsid w:val="006B1285"/>
    <w:rsid w:val="00827461"/>
    <w:rsid w:val="00850196"/>
    <w:rsid w:val="008A3425"/>
    <w:rsid w:val="00917A79"/>
    <w:rsid w:val="00921967"/>
    <w:rsid w:val="00BA79BF"/>
    <w:rsid w:val="00C0181F"/>
    <w:rsid w:val="00C85A3C"/>
    <w:rsid w:val="00CB3AD2"/>
    <w:rsid w:val="00D30760"/>
    <w:rsid w:val="00DA0378"/>
    <w:rsid w:val="00DA21BC"/>
    <w:rsid w:val="00E5011C"/>
    <w:rsid w:val="00E67773"/>
    <w:rsid w:val="00EB072A"/>
    <w:rsid w:val="00F20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9E7F"/>
  <w15:docId w15:val="{D6487452-07D6-4438-997E-75FC5E74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42" w:line="266" w:lineRule="auto"/>
      <w:ind w:left="87"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232"/>
      <w:ind w:left="73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Akapitzlist">
    <w:name w:val="List Paragraph"/>
    <w:basedOn w:val="Normalny"/>
    <w:uiPriority w:val="34"/>
    <w:qFormat/>
    <w:rsid w:val="00DA0378"/>
    <w:pPr>
      <w:ind w:left="720"/>
      <w:contextualSpacing/>
    </w:pPr>
  </w:style>
  <w:style w:type="character" w:styleId="Odwoaniedokomentarza">
    <w:name w:val="annotation reference"/>
    <w:basedOn w:val="Domylnaczcionkaakapitu"/>
    <w:uiPriority w:val="99"/>
    <w:semiHidden/>
    <w:unhideWhenUsed/>
    <w:rsid w:val="00DA0378"/>
    <w:rPr>
      <w:sz w:val="16"/>
      <w:szCs w:val="16"/>
    </w:rPr>
  </w:style>
  <w:style w:type="paragraph" w:styleId="Tekstkomentarza">
    <w:name w:val="annotation text"/>
    <w:basedOn w:val="Normalny"/>
    <w:link w:val="TekstkomentarzaZnak"/>
    <w:uiPriority w:val="99"/>
    <w:semiHidden/>
    <w:unhideWhenUsed/>
    <w:rsid w:val="00DA03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03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DA0378"/>
    <w:rPr>
      <w:b/>
      <w:bCs/>
    </w:rPr>
  </w:style>
  <w:style w:type="character" w:customStyle="1" w:styleId="TematkomentarzaZnak">
    <w:name w:val="Temat komentarza Znak"/>
    <w:basedOn w:val="TekstkomentarzaZnak"/>
    <w:link w:val="Tematkomentarza"/>
    <w:uiPriority w:val="99"/>
    <w:semiHidden/>
    <w:rsid w:val="00DA0378"/>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DA03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378"/>
    <w:rPr>
      <w:rFonts w:ascii="Segoe UI" w:eastAsia="Calibri" w:hAnsi="Segoe UI" w:cs="Segoe UI"/>
      <w:color w:val="000000"/>
      <w:sz w:val="18"/>
      <w:szCs w:val="18"/>
    </w:rPr>
  </w:style>
  <w:style w:type="character" w:styleId="Hipercze">
    <w:name w:val="Hyperlink"/>
    <w:basedOn w:val="Domylnaczcionkaakapitu"/>
    <w:uiPriority w:val="99"/>
    <w:unhideWhenUsed/>
    <w:rsid w:val="006A1A18"/>
    <w:rPr>
      <w:color w:val="0563C1" w:themeColor="hyperlink"/>
      <w:u w:val="single"/>
    </w:rPr>
  </w:style>
  <w:style w:type="character" w:styleId="UyteHipercze">
    <w:name w:val="FollowedHyperlink"/>
    <w:basedOn w:val="Domylnaczcionkaakapitu"/>
    <w:uiPriority w:val="99"/>
    <w:semiHidden/>
    <w:unhideWhenUsed/>
    <w:rsid w:val="006A1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inicaltrialsregister.eu/ctr-search/trial/2020-004898-41/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Jaskólska</dc:creator>
  <cp:keywords/>
  <cp:lastModifiedBy>Paulina Kowalska</cp:lastModifiedBy>
  <cp:revision>2</cp:revision>
  <cp:lastPrinted>2024-07-17T08:57:00Z</cp:lastPrinted>
  <dcterms:created xsi:type="dcterms:W3CDTF">2024-07-26T08:54:00Z</dcterms:created>
  <dcterms:modified xsi:type="dcterms:W3CDTF">2024-07-26T08:54:00Z</dcterms:modified>
</cp:coreProperties>
</file>