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1DA6069D" w:rsidR="003F5F8F" w:rsidRPr="005140C7" w:rsidRDefault="005140C7">
      <w:pPr>
        <w:jc w:val="center"/>
        <w:rPr>
          <w:rFonts w:ascii="Book Antiqua" w:hAnsi="Book Antiqua" w:cs="Times New Roman"/>
          <w:b/>
          <w:sz w:val="20"/>
          <w:szCs w:val="20"/>
        </w:rPr>
      </w:pPr>
      <w:r w:rsidRPr="005140C7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3f do SWZ</w:t>
      </w:r>
    </w:p>
    <w:p w14:paraId="65576AA6" w14:textId="3FD5A3D7" w:rsidR="003F5F8F" w:rsidRPr="005140C7" w:rsidRDefault="003F5F8F">
      <w:pPr>
        <w:spacing w:after="280"/>
        <w:jc w:val="center"/>
        <w:rPr>
          <w:rFonts w:ascii="Book Antiqua" w:hAnsi="Book Antiqua" w:cs="Times New Roman"/>
          <w:b/>
          <w:sz w:val="20"/>
          <w:szCs w:val="20"/>
        </w:rPr>
      </w:pPr>
      <w:r w:rsidRPr="005140C7">
        <w:rPr>
          <w:rFonts w:ascii="Book Antiqua" w:hAnsi="Book Antiqua" w:cs="Times New Roman"/>
          <w:b/>
          <w:sz w:val="20"/>
          <w:szCs w:val="20"/>
        </w:rPr>
        <w:tab/>
        <w:t>Opis przedmiotu zamówienia (OPZ)</w:t>
      </w:r>
    </w:p>
    <w:p w14:paraId="01FB5862" w14:textId="37F54673" w:rsidR="00275926" w:rsidRPr="005140C7" w:rsidRDefault="00275926" w:rsidP="2D78D433">
      <w:pPr>
        <w:spacing w:after="280"/>
        <w:rPr>
          <w:rFonts w:ascii="Book Antiqua" w:hAnsi="Book Antiqua"/>
          <w:b/>
          <w:bCs/>
          <w:sz w:val="20"/>
          <w:szCs w:val="20"/>
        </w:rPr>
      </w:pPr>
      <w:r w:rsidRPr="005140C7">
        <w:rPr>
          <w:rFonts w:ascii="Book Antiqua" w:hAnsi="Book Antiqua"/>
          <w:b/>
          <w:bCs/>
          <w:sz w:val="20"/>
          <w:szCs w:val="20"/>
        </w:rPr>
        <w:t xml:space="preserve">Część </w:t>
      </w:r>
      <w:r w:rsidR="009B1F63" w:rsidRPr="005140C7">
        <w:rPr>
          <w:rFonts w:ascii="Book Antiqua" w:hAnsi="Book Antiqua"/>
          <w:b/>
          <w:bCs/>
          <w:sz w:val="20"/>
          <w:szCs w:val="20"/>
        </w:rPr>
        <w:t>6</w:t>
      </w:r>
      <w:r w:rsidR="5D6C31B1" w:rsidRPr="005140C7">
        <w:rPr>
          <w:rFonts w:ascii="Book Antiqua" w:hAnsi="Book Antiqua"/>
          <w:b/>
          <w:bCs/>
          <w:sz w:val="20"/>
          <w:szCs w:val="20"/>
        </w:rPr>
        <w:t xml:space="preserve"> zadanie 1</w:t>
      </w:r>
    </w:p>
    <w:p w14:paraId="1B4C0C5A" w14:textId="79850C33" w:rsidR="003F5F8F" w:rsidRPr="005140C7" w:rsidRDefault="003F5F8F" w:rsidP="00432A23">
      <w:pPr>
        <w:ind w:left="-170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4C4D28"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</w:t>
      </w:r>
      <w:r w:rsidR="009325AE"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Aparat do </w:t>
      </w:r>
      <w:r w:rsidR="004C4D28" w:rsidRPr="005140C7">
        <w:rPr>
          <w:rFonts w:ascii="Book Antiqua" w:hAnsi="Book Antiqua" w:cs="Times New Roman"/>
          <w:b/>
          <w:bCs/>
          <w:color w:val="000000"/>
          <w:sz w:val="20"/>
          <w:szCs w:val="20"/>
        </w:rPr>
        <w:t>terapii nerkozastępczej</w:t>
      </w:r>
    </w:p>
    <w:tbl>
      <w:tblPr>
        <w:tblW w:w="14453" w:type="dxa"/>
        <w:tblInd w:w="-139" w:type="dxa"/>
        <w:tblLayout w:type="fixed"/>
        <w:tblCellMar>
          <w:top w:w="55" w:type="dxa"/>
          <w:left w:w="2" w:type="dxa"/>
          <w:bottom w:w="55" w:type="dxa"/>
          <w:right w:w="53" w:type="dxa"/>
        </w:tblCellMar>
        <w:tblLook w:val="0000" w:firstRow="0" w:lastRow="0" w:firstColumn="0" w:lastColumn="0" w:noHBand="0" w:noVBand="0"/>
      </w:tblPr>
      <w:tblGrid>
        <w:gridCol w:w="568"/>
        <w:gridCol w:w="6089"/>
        <w:gridCol w:w="2120"/>
        <w:gridCol w:w="5676"/>
      </w:tblGrid>
      <w:tr w:rsidR="00432A23" w:rsidRPr="005140C7" w14:paraId="1A160DB4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  <w:vAlign w:val="center"/>
          </w:tcPr>
          <w:p w14:paraId="4840D583" w14:textId="77777777" w:rsidR="00432A23" w:rsidRPr="005140C7" w:rsidRDefault="00432A23" w:rsidP="005C28A6">
            <w:pPr>
              <w:keepNext/>
              <w:widowControl w:val="0"/>
              <w:tabs>
                <w:tab w:val="left" w:pos="0"/>
              </w:tabs>
              <w:snapToGrid w:val="0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b/>
                <w:iCs/>
                <w:sz w:val="20"/>
                <w:szCs w:val="20"/>
              </w:rPr>
              <w:t>Lp</w:t>
            </w:r>
            <w:r w:rsidRPr="005140C7">
              <w:rPr>
                <w:rFonts w:ascii="Book Antiqua" w:eastAsia="Times New Roman" w:hAnsi="Book Antiqua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9D34B27" w14:textId="77777777" w:rsidR="00432A23" w:rsidRPr="005140C7" w:rsidRDefault="00432A23" w:rsidP="005C28A6">
            <w:pPr>
              <w:keepNext/>
              <w:widowControl w:val="0"/>
              <w:tabs>
                <w:tab w:val="left" w:pos="0"/>
              </w:tabs>
              <w:snapToGrid w:val="0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AE542AA" w14:textId="77777777" w:rsidR="00432A23" w:rsidRPr="005140C7" w:rsidRDefault="00432A23" w:rsidP="005C28A6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B13D18" w14:textId="77777777" w:rsidR="00432A23" w:rsidRPr="005140C7" w:rsidRDefault="00432A23" w:rsidP="005C28A6">
            <w:pPr>
              <w:widowControl w:val="0"/>
              <w:tabs>
                <w:tab w:val="left" w:pos="720"/>
              </w:tabs>
              <w:snapToGrid w:val="0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5140C7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5140C7" w14:paraId="3C67D005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98C90C" w14:textId="313DD4A3" w:rsidR="00255727" w:rsidRPr="005140C7" w:rsidRDefault="00255727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865A102" w14:textId="6CC61368" w:rsidR="00255727" w:rsidRPr="005140C7" w:rsidRDefault="00255727" w:rsidP="00255727">
            <w:pPr>
              <w:widowControl w:val="0"/>
              <w:snapToGrid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DDEA6C9" w14:textId="5ED20E52" w:rsidR="00255727" w:rsidRPr="005140C7" w:rsidRDefault="00255727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B15DC9" w14:textId="77777777" w:rsidR="00255727" w:rsidRPr="005140C7" w:rsidRDefault="00255727" w:rsidP="00255727">
            <w:pPr>
              <w:widowControl w:val="0"/>
              <w:snapToGrid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2A23" w:rsidRPr="005140C7" w14:paraId="78BA7C57" w14:textId="77777777" w:rsidTr="6D34F095">
        <w:trPr>
          <w:trHeight w:val="372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F999B5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B45C382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Nazwa i typ urządzenia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AEF7874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DAB6C7B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5140C7" w14:paraId="492D973E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CD5EC4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033D03D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Kraj pochodzenia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C0D3D8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2EB378F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5140C7" w14:paraId="163A5088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98DEE6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E389E4C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4FD3E" w14:textId="77777777" w:rsidR="00432A23" w:rsidRPr="005140C7" w:rsidRDefault="00FB5636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2024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05A809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5140C7" w14:paraId="1DD9EFD0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8941E47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48C6C1E7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Zamawiana ilość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2321109C" w14:textId="4484828E" w:rsidR="00432A23" w:rsidRPr="005140C7" w:rsidRDefault="1527132F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  <w:r w:rsidR="00432A23"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 xml:space="preserve"> szt.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5A39BBE3" w14:textId="77777777" w:rsidR="00432A23" w:rsidRPr="005140C7" w:rsidRDefault="00432A23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255727" w:rsidRPr="005140C7" w14:paraId="24DE0C11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5C69889" w14:textId="2C13504D" w:rsidR="00255727" w:rsidRPr="005140C7" w:rsidRDefault="00255727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5ED6A7D8" w14:textId="67670BD9" w:rsidR="00255727" w:rsidRPr="005140C7" w:rsidRDefault="00255727" w:rsidP="00255727">
            <w:pPr>
              <w:widowControl w:val="0"/>
              <w:suppressLineNumbers/>
              <w:snapToGrid w:val="0"/>
              <w:spacing w:after="120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5140C7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Miejsce instalacji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6BF1EED8" w14:textId="589EC9AA" w:rsidR="00255727" w:rsidRPr="005140C7" w:rsidRDefault="10B89D19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Podmiot Leczniczy Sp. z o.o.</w:t>
            </w:r>
            <w:r w:rsidR="00255727" w:rsidRPr="005140C7">
              <w:rPr>
                <w:rFonts w:ascii="Book Antiqua" w:hAnsi="Book Antiqua"/>
                <w:sz w:val="20"/>
                <w:szCs w:val="20"/>
              </w:rPr>
              <w:br/>
            </w:r>
            <w:r w:rsidRPr="005140C7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255727" w:rsidRPr="005140C7">
              <w:rPr>
                <w:rFonts w:ascii="Book Antiqua" w:hAnsi="Book Antiqua"/>
                <w:sz w:val="20"/>
                <w:szCs w:val="20"/>
              </w:rPr>
              <w:br/>
            </w:r>
            <w:r w:rsidRPr="005140C7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3B64CB75" w14:textId="77777777" w:rsidR="00255727" w:rsidRPr="005140C7" w:rsidRDefault="00255727" w:rsidP="00255727">
            <w:pPr>
              <w:widowControl w:val="0"/>
              <w:suppressLineNumbers/>
              <w:snapToGrid w:val="0"/>
              <w:spacing w:after="120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432A23" w:rsidRPr="005140C7" w14:paraId="1AD85C2E" w14:textId="77777777" w:rsidTr="6D34F095">
        <w:tc>
          <w:tcPr>
            <w:tcW w:w="5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C8F396" w14:textId="77777777" w:rsidR="00432A23" w:rsidRPr="005140C7" w:rsidRDefault="00432A23" w:rsidP="005C28A6">
            <w:pPr>
              <w:keepNext/>
              <w:widowControl w:val="0"/>
              <w:tabs>
                <w:tab w:val="left" w:pos="0"/>
              </w:tabs>
              <w:snapToGrid w:val="0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89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33E5F" w14:textId="3EAD8F0E" w:rsidR="00432A23" w:rsidRPr="005140C7" w:rsidRDefault="00432A23" w:rsidP="005C28A6">
            <w:pPr>
              <w:keepNext/>
              <w:widowControl w:val="0"/>
              <w:tabs>
                <w:tab w:val="left" w:pos="0"/>
              </w:tabs>
              <w:snapToGrid w:val="0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b/>
                <w:bCs/>
                <w:i/>
                <w:sz w:val="20"/>
                <w:szCs w:val="20"/>
              </w:rPr>
              <w:t xml:space="preserve">Wymagania 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DA8453A" w14:textId="77777777" w:rsidR="00432A23" w:rsidRPr="005140C7" w:rsidRDefault="00432A23" w:rsidP="005C28A6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676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FB17B0" w14:textId="77777777" w:rsidR="00432A23" w:rsidRPr="005140C7" w:rsidRDefault="00432A23" w:rsidP="005C28A6">
            <w:pPr>
              <w:widowControl w:val="0"/>
              <w:tabs>
                <w:tab w:val="left" w:pos="720"/>
              </w:tabs>
              <w:snapToGrid w:val="0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5140C7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3C38B9" w:rsidRPr="005140C7" w14:paraId="0041C64F" w14:textId="77777777" w:rsidTr="6D34F095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F6852EB" w14:textId="5AFF8385" w:rsidR="003C38B9" w:rsidRPr="005140C7" w:rsidRDefault="003C38B9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  <w:t>Wymagania ogólne</w:t>
            </w:r>
          </w:p>
        </w:tc>
      </w:tr>
      <w:tr w:rsidR="00255727" w:rsidRPr="005140C7" w14:paraId="7B9DCB40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6B20A0C" w14:textId="77777777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33C0E18" w14:textId="10B264FF" w:rsidR="00255727" w:rsidRPr="005140C7" w:rsidRDefault="00104172" w:rsidP="00255727">
            <w:pPr>
              <w:widowControl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 xml:space="preserve">Aparat do ciągłej terapii nerkozastępczej z regionalną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antykoagulacją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 cytrynianową lub ogólnoustrojową.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5826E90" w14:textId="4D309041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59D38B15"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2A3D3EC" w14:textId="77777777" w:rsidR="00255727" w:rsidRPr="005140C7" w:rsidRDefault="00255727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5140C7" w14:paraId="6A4553D7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44751B" w14:textId="77777777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73016FD" w14:textId="59F5E8F8" w:rsidR="00255727" w:rsidRPr="005140C7" w:rsidRDefault="00104172" w:rsidP="00255727">
            <w:pPr>
              <w:widowControl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Kasetowy, jednorazowy system filtra i drenów, bez możliwości oddzielenia filtra od drenów.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E4F1728" w14:textId="090B312F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0B940D" w14:textId="77777777" w:rsidR="00255727" w:rsidRPr="005140C7" w:rsidRDefault="00255727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5140C7" w14:paraId="0F028302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7D8AD56" w14:textId="616662F4" w:rsidR="00104172" w:rsidRPr="005140C7" w:rsidRDefault="00514B21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E7EB9F8" w14:textId="2FEF1DE2" w:rsidR="00104172" w:rsidRPr="005140C7" w:rsidRDefault="00104172" w:rsidP="00255727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 xml:space="preserve">Zasilanie sieciowe 230 V / 50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 +/- 10% . Akumulator który w </w:t>
            </w:r>
            <w:r w:rsidRPr="005140C7">
              <w:rPr>
                <w:rFonts w:ascii="Book Antiqua" w:hAnsi="Book Antiqua"/>
                <w:sz w:val="20"/>
                <w:szCs w:val="20"/>
              </w:rPr>
              <w:lastRenderedPageBreak/>
              <w:t xml:space="preserve">przypadku braku zasilania sieciowego, zapewni pracę aparatu przez co najmniej </w:t>
            </w:r>
            <w:r w:rsidR="00B20364" w:rsidRPr="005140C7">
              <w:rPr>
                <w:rFonts w:ascii="Book Antiqua" w:hAnsi="Book Antiqua"/>
                <w:sz w:val="20"/>
                <w:szCs w:val="20"/>
              </w:rPr>
              <w:t>3</w:t>
            </w:r>
            <w:r w:rsidRPr="005140C7">
              <w:rPr>
                <w:rFonts w:ascii="Book Antiqua" w:hAnsi="Book Antiqua"/>
                <w:sz w:val="20"/>
                <w:szCs w:val="20"/>
              </w:rPr>
              <w:t>0 min</w:t>
            </w:r>
            <w:r w:rsidR="00514B21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EB1575A" w14:textId="612F7D6D" w:rsidR="00104172" w:rsidRPr="005140C7" w:rsidRDefault="009325AE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TAK</w:t>
            </w:r>
            <w:r w:rsidR="00514B21"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4710610" w14:textId="77777777" w:rsidR="00104172" w:rsidRPr="005140C7" w:rsidRDefault="00104172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5140C7" w14:paraId="5AB68974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B778152" w14:textId="77777777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A3DC2F5" w14:textId="6E9AA0C2" w:rsidR="00255727" w:rsidRPr="005140C7" w:rsidRDefault="00104172" w:rsidP="00255727">
            <w:pPr>
              <w:widowControl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Graficzne monitorowanie wszystkich ciśnień podczas zabiegu.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6B794A1" w14:textId="45257986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E27B00A" w14:textId="77777777" w:rsidR="00255727" w:rsidRPr="005140C7" w:rsidRDefault="00255727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5140C7" w14:paraId="09034D74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240AAE" w14:textId="74703112" w:rsidR="00255727" w:rsidRPr="005140C7" w:rsidRDefault="000600A5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1B34AFB" w14:textId="7391F0A1" w:rsidR="00255727" w:rsidRPr="005140C7" w:rsidRDefault="00104172" w:rsidP="00255727">
            <w:pPr>
              <w:widowControl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Oprogramowanie i komunikacja w języku polski, pomoc kontekstowa na ekranie</w:t>
            </w:r>
            <w:r w:rsidR="000600A5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07D2D40" w14:textId="1554752E" w:rsidR="00255727" w:rsidRPr="005140C7" w:rsidRDefault="00255727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EAFD9C" w14:textId="77777777" w:rsidR="00255727" w:rsidRPr="005140C7" w:rsidRDefault="00255727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5140C7" w14:paraId="3789770A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B7F02C8" w14:textId="0F177135" w:rsidR="00104172" w:rsidRPr="005140C7" w:rsidRDefault="000600A5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29AABE4" w14:textId="40C94F44" w:rsidR="00104172" w:rsidRPr="005140C7" w:rsidRDefault="00104172" w:rsidP="00255727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Możliwość wprowadzenia danych pacjenta (imię, nazwisko, waga, hematokryt)</w:t>
            </w:r>
            <w:r w:rsidR="000600A5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2C11F9E" w14:textId="0ECD3D4E" w:rsidR="00104172" w:rsidRPr="005140C7" w:rsidRDefault="00104172" w:rsidP="00255727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5E6EFC6" w14:textId="77777777" w:rsidR="00104172" w:rsidRPr="005140C7" w:rsidRDefault="00104172" w:rsidP="00255727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64698" w:rsidRPr="005140C7" w14:paraId="1CA0AADA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02B32FC" w14:textId="115EC6DD" w:rsidR="00864698" w:rsidRPr="005140C7" w:rsidRDefault="000600A5" w:rsidP="00104172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44F993C" w14:textId="25F26E91" w:rsidR="00864698" w:rsidRPr="005140C7" w:rsidRDefault="00864698" w:rsidP="00104172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Czytnik kodów kreskowych lub/i QR w celu minimalizacji ryzyka pomyłki lub użycia zestawu przeterminowanego.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CB6424D" w14:textId="40F8F4BB" w:rsidR="00864698" w:rsidRPr="005140C7" w:rsidRDefault="00864698" w:rsidP="00104172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71A7254" w14:textId="77777777" w:rsidR="00864698" w:rsidRPr="005140C7" w:rsidRDefault="00864698" w:rsidP="00104172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3C38B9" w:rsidRPr="005140C7" w14:paraId="05391220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BB31B62" w14:textId="7BFFC022" w:rsidR="003C38B9" w:rsidRPr="005140C7" w:rsidRDefault="000600A5" w:rsidP="003C38B9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12E6BC6" w14:textId="459625F3" w:rsidR="003C38B9" w:rsidRPr="005140C7" w:rsidRDefault="003C38B9" w:rsidP="003C38B9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 xml:space="preserve">Zintegrowana pompa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strzykawkowa</w:t>
            </w:r>
            <w:proofErr w:type="spellEnd"/>
            <w:r w:rsidR="00585F6F" w:rsidRPr="005140C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85F6F" w:rsidRPr="005140C7">
              <w:rPr>
                <w:rFonts w:ascii="Book Antiqua" w:hAnsi="Book Antiqua" w:cs="Times New Roman"/>
                <w:sz w:val="20"/>
                <w:szCs w:val="20"/>
              </w:rPr>
              <w:t xml:space="preserve">do podaży heparyny lub wapnia, przystosowana do stosowania ogólnodostępnych strzykawek o poj. 50/60 ml z zakończeniem </w:t>
            </w:r>
            <w:proofErr w:type="spellStart"/>
            <w:r w:rsidR="00585F6F" w:rsidRPr="005140C7">
              <w:rPr>
                <w:rFonts w:ascii="Book Antiqua" w:hAnsi="Book Antiqua" w:cs="Times New Roman"/>
                <w:sz w:val="20"/>
                <w:szCs w:val="20"/>
              </w:rPr>
              <w:t>Luer</w:t>
            </w:r>
            <w:proofErr w:type="spellEnd"/>
            <w:r w:rsidR="00585F6F" w:rsidRPr="005140C7">
              <w:rPr>
                <w:rFonts w:ascii="Book Antiqua" w:hAnsi="Book Antiqua" w:cs="Times New Roman"/>
                <w:sz w:val="20"/>
                <w:szCs w:val="20"/>
              </w:rPr>
              <w:t xml:space="preserve"> Lock.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CE9575B" w14:textId="492D6C49" w:rsidR="003C38B9" w:rsidRPr="005140C7" w:rsidRDefault="003C38B9" w:rsidP="003C38B9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EC92262" w14:textId="77777777" w:rsidR="003C38B9" w:rsidRPr="005140C7" w:rsidRDefault="003C38B9" w:rsidP="003C38B9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3C38B9" w:rsidRPr="005140C7" w14:paraId="5C86D5D9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79074D" w14:textId="1D7ACCDE" w:rsidR="003C38B9" w:rsidRPr="005140C7" w:rsidRDefault="000600A5" w:rsidP="003C38B9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319FF39" w14:textId="5235C34B" w:rsidR="003C38B9" w:rsidRPr="005140C7" w:rsidRDefault="003C38B9" w:rsidP="003C38B9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Układ podgrzewający krew powracającą do pacjenta</w:t>
            </w:r>
            <w:r w:rsidR="000600A5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760F711" w14:textId="0D8AF8CD" w:rsidR="003C38B9" w:rsidRPr="005140C7" w:rsidRDefault="003C38B9" w:rsidP="003C38B9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DF2F3FC" w14:textId="77777777" w:rsidR="003C38B9" w:rsidRPr="005140C7" w:rsidRDefault="003C38B9" w:rsidP="003C38B9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3C38B9" w:rsidRPr="005140C7" w14:paraId="16C164CF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BC6D4BA" w14:textId="0B122583" w:rsidR="003C38B9" w:rsidRPr="005140C7" w:rsidRDefault="000600A5" w:rsidP="003C38B9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5DBB6D1" w14:textId="78F6768C" w:rsidR="003C38B9" w:rsidRPr="005140C7" w:rsidRDefault="00992B3F" w:rsidP="003C38B9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 xml:space="preserve">Regulowany, </w:t>
            </w:r>
            <w:r w:rsidR="003C38B9" w:rsidRPr="005140C7">
              <w:rPr>
                <w:rFonts w:ascii="Book Antiqua" w:hAnsi="Book Antiqua"/>
                <w:sz w:val="20"/>
                <w:szCs w:val="20"/>
              </w:rPr>
              <w:t>kolorowy ekran dotykowy</w:t>
            </w:r>
            <w:r w:rsidRPr="005140C7">
              <w:rPr>
                <w:rFonts w:ascii="Book Antiqua" w:hAnsi="Book Antiqua"/>
                <w:sz w:val="20"/>
                <w:szCs w:val="20"/>
              </w:rPr>
              <w:t xml:space="preserve"> LCD</w:t>
            </w:r>
            <w:r w:rsidR="003C38B9" w:rsidRPr="005140C7">
              <w:rPr>
                <w:rFonts w:ascii="Book Antiqua" w:hAnsi="Book Antiqua"/>
                <w:sz w:val="20"/>
                <w:szCs w:val="20"/>
              </w:rPr>
              <w:t>, o wielkości min. 1</w:t>
            </w:r>
            <w:r w:rsidR="00585F6F" w:rsidRPr="005140C7">
              <w:rPr>
                <w:rFonts w:ascii="Book Antiqua" w:hAnsi="Book Antiqua"/>
                <w:sz w:val="20"/>
                <w:szCs w:val="20"/>
              </w:rPr>
              <w:t>4</w:t>
            </w:r>
            <w:r w:rsidR="003C38B9" w:rsidRPr="005140C7">
              <w:rPr>
                <w:rFonts w:ascii="Book Antiqua" w:hAnsi="Book Antiqua"/>
                <w:sz w:val="20"/>
                <w:szCs w:val="20"/>
              </w:rPr>
              <w:t>”</w:t>
            </w:r>
            <w:r w:rsidR="008C15A8" w:rsidRPr="005140C7">
              <w:rPr>
                <w:rFonts w:ascii="Book Antiqua" w:hAnsi="Book Antiqua"/>
                <w:sz w:val="20"/>
                <w:szCs w:val="20"/>
              </w:rPr>
              <w:t xml:space="preserve"> z intuicyjnym interfejsem</w:t>
            </w:r>
            <w:r w:rsidR="00585F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9014232" w14:textId="1B76465B" w:rsidR="003C38B9" w:rsidRPr="005140C7" w:rsidRDefault="003C38B9" w:rsidP="003C38B9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152823"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05562EF" w14:textId="77777777" w:rsidR="003C38B9" w:rsidRPr="005140C7" w:rsidRDefault="003C38B9" w:rsidP="003C38B9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5140C7" w14:paraId="072CB5C1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E21AEAF" w14:textId="4E4CB8EC" w:rsidR="00104172" w:rsidRPr="005140C7" w:rsidRDefault="000600A5" w:rsidP="00104172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D3735DC" w14:textId="454C7C03" w:rsidR="00104172" w:rsidRPr="005140C7" w:rsidRDefault="008C15A8" w:rsidP="00104172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Opcja przechowywania danych dot. przeprowadzonego zabiegu. Pamięć systemu min. 400 MB</w:t>
            </w:r>
            <w:r w:rsidR="00514B21" w:rsidRPr="005140C7">
              <w:rPr>
                <w:rFonts w:ascii="Book Antiqua" w:hAnsi="Book Antiqua"/>
                <w:sz w:val="20"/>
                <w:szCs w:val="20"/>
              </w:rPr>
              <w:t>.</w:t>
            </w:r>
            <w:r w:rsidR="000600A5" w:rsidRPr="005140C7">
              <w:rPr>
                <w:rFonts w:ascii="Book Antiqua" w:hAnsi="Book Antiqua"/>
                <w:sz w:val="20"/>
                <w:szCs w:val="20"/>
              </w:rPr>
              <w:t xml:space="preserve"> Pamięć min.: 96 godz.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A19FAEF" w14:textId="3652E69B" w:rsidR="00104172" w:rsidRPr="005140C7" w:rsidRDefault="00585F6F" w:rsidP="00104172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1BC7DA4" w14:textId="77777777" w:rsidR="00104172" w:rsidRPr="005140C7" w:rsidRDefault="00104172" w:rsidP="00104172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C242906" w14:textId="77777777" w:rsidTr="6D34F095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CB7A43A" w14:textId="319D472D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  <w:t>Parametry pracy urządzenia</w:t>
            </w:r>
          </w:p>
        </w:tc>
      </w:tr>
      <w:tr w:rsidR="00514B21" w:rsidRPr="005140C7" w14:paraId="08E516DC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94550EE" w14:textId="40332554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33E8D8E" w14:textId="3DCFED82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Hemodializa (CVVHD)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1C96B49" w14:textId="1F65C8E1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7259C2C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6A3370B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7AAA55A" w14:textId="013A3D2C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89646B6" w14:textId="515AE00E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Hemofiltracja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 (CVVH)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82385DD" w14:textId="1ED81311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5D34FA5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FA35D3A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69FA884" w14:textId="467E8A9E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6109B43" w14:textId="3589A321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Hemodiafiltracja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 (CVVHDF)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620FB82" w14:textId="626036E9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A5D7D78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547A7A3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AE72DC0" w14:textId="2091347D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1D2F020" w14:textId="49407BBE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Powolna ultrafiltracja (SCUF)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452B924" w14:textId="2324F345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49578C9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29F6143C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F6F248" w14:textId="337007D3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4B9745E" w14:textId="0833A0B7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Plazmafereza (TPE)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9B22D8B" w14:textId="5B9570DC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389D67C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19183AF1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0731CAF" w14:textId="640CD7E5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B204C14" w14:textId="268A41F3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Hemoperfuzja (HP)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1136152" w14:textId="0F179D1D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F89809F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2BF2357F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A01C9EC" w14:textId="6E53E7B6" w:rsidR="00514B21" w:rsidRPr="005140C7" w:rsidRDefault="000600A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1AC37C7" w14:textId="65B44743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 xml:space="preserve">Możliwość stosowania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antykoagulacji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 cytrynianowej w zabiegach: </w:t>
            </w:r>
            <w:r w:rsidRPr="005140C7">
              <w:rPr>
                <w:rFonts w:ascii="Book Antiqua" w:hAnsi="Book Antiqua"/>
                <w:sz w:val="20"/>
                <w:szCs w:val="20"/>
              </w:rPr>
              <w:lastRenderedPageBreak/>
              <w:t xml:space="preserve">SCUF, CVVHD, CVVHF CVVHDF – z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pre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- i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postdylucją</w:t>
            </w:r>
            <w:proofErr w:type="spellEnd"/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6E4AD5B" w14:textId="17F3184F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DB2A4B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0D4BF2C8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0635772" w14:textId="143D8C7E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E1E7CEA" w14:textId="1DF5A4A0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 w:cs="Times New Roman"/>
                <w:sz w:val="20"/>
                <w:szCs w:val="20"/>
              </w:rPr>
              <w:t>Możliwość zapisywania parametrów zabiegu jako gotowych profili terapii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2AB084F" w14:textId="3651E181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66A7660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35A71D0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5FB1019" w14:textId="6EA172D1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19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0A3F0B0" w14:textId="77777777" w:rsidR="00514B21" w:rsidRPr="005140C7" w:rsidRDefault="00514B21" w:rsidP="00514B21">
            <w:pPr>
              <w:pStyle w:val="NormalnyWeb1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Pompa krwi i cztery pompy płynów z systemem bilansującym:</w:t>
            </w:r>
          </w:p>
          <w:p w14:paraId="2C554ECE" w14:textId="77777777" w:rsidR="00514B21" w:rsidRPr="005140C7" w:rsidRDefault="00514B21" w:rsidP="00514B21">
            <w:pPr>
              <w:pStyle w:val="NormalnyWeb1"/>
              <w:numPr>
                <w:ilvl w:val="1"/>
                <w:numId w:val="3"/>
              </w:num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ultrafiltratu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>,</w:t>
            </w:r>
          </w:p>
          <w:p w14:paraId="5FBCF786" w14:textId="77777777" w:rsidR="00514B21" w:rsidRPr="005140C7" w:rsidRDefault="00514B21" w:rsidP="00514B21">
            <w:pPr>
              <w:pStyle w:val="NormalnyWeb1"/>
              <w:numPr>
                <w:ilvl w:val="1"/>
                <w:numId w:val="3"/>
              </w:num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płynu PBP,</w:t>
            </w:r>
          </w:p>
          <w:p w14:paraId="6F70A7FB" w14:textId="5A38CFF7" w:rsidR="00514B21" w:rsidRPr="005140C7" w:rsidRDefault="00514B21" w:rsidP="00514B21">
            <w:pPr>
              <w:pStyle w:val="NormalnyWeb1"/>
              <w:numPr>
                <w:ilvl w:val="1"/>
                <w:numId w:val="3"/>
              </w:num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płynu dializacyjnego,</w:t>
            </w:r>
          </w:p>
          <w:p w14:paraId="0BA54316" w14:textId="75956B07" w:rsidR="00514B21" w:rsidRPr="005140C7" w:rsidRDefault="00514B21" w:rsidP="00514B21">
            <w:pPr>
              <w:pStyle w:val="NormalnyWeb1"/>
              <w:numPr>
                <w:ilvl w:val="1"/>
                <w:numId w:val="3"/>
              </w:num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płynu substytucyjnego.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E0B58B7" w14:textId="4BC3EF29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4574762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7046850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FCD121A" w14:textId="26DFF6CB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20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93C4B9C" w14:textId="2DCF9A7A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Minimum cztery niezależne wagi płynów z zakresem ważenia min.: 0 – 11 kg.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92D632E" w14:textId="253F6AA7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42CECE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7D300653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A273F1" w14:textId="4C537CE6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046CCEE" w14:textId="79C8E415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Regulacja przepływu pompy krwi w zakresie: 10 - 450 ml/min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7308687" w14:textId="2AE2FE8E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BA5A822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09561D82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92CB2D8" w14:textId="1787250E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2D5DBCA" w14:textId="12AE1552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Przepływ płynu PBP w zakresie: 0 - 4000 ml/h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15DAD9F" w14:textId="3B74993F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1DA936B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465A7B2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7B6A917" w14:textId="7B06DCB1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581BF48" w14:textId="0327D10B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Przepływ płynu dializacyjnego w zakresie: 0 - 8000 ml/h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D940486" w14:textId="298B4D97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27E5A93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1EB826DD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ADF3FE3" w14:textId="1F96B9FF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1A2DAB4" w14:textId="602C7558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Przepływ płynu substytucyjnego w zakresie: 0 - 8000 ml/h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FAD132B" w14:textId="249E997F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DC5220D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F6B4711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2296BC" w14:textId="295A6920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CFD83B0" w14:textId="73735F85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Usuwanie płynu z ciała pacjenta w zakresie: 0 - 2000 ml/h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4B1C52A" w14:textId="2C246EF9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2E5A803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BF603A6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192380F" w14:textId="1DA3C79D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17D6BF8" w14:textId="53BC4D51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Możliwość regulacji temperatury podgrzewacza krwi w zakresie: 35 - 38ºC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3A3DEBC" w14:textId="0C24AEE4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0A4C3BD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C0D9AA0" w14:textId="77777777" w:rsidTr="6D34F095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1BF1ECF" w14:textId="67918548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  <w:t>Bezpieczeństwo</w:t>
            </w:r>
          </w:p>
        </w:tc>
      </w:tr>
      <w:tr w:rsidR="00514B21" w:rsidRPr="005140C7" w14:paraId="10F9A375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947FA0A" w14:textId="7FE949F3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9502DE0" w14:textId="4873DCA7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Detektor przecieku krwi.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3FC8E7D" w14:textId="79C28C55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F34060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3DD1ED0E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400674A" w14:textId="703A664F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E876D08" w14:textId="1FE4C0BF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Ultradźwiękowy</w:t>
            </w:r>
            <w:r w:rsidRPr="005140C7">
              <w:rPr>
                <w:rFonts w:ascii="Book Antiqua" w:hAnsi="Book Antiqua"/>
                <w:sz w:val="20"/>
                <w:szCs w:val="20"/>
              </w:rPr>
              <w:t xml:space="preserve"> detektor obecności powietrza w krwi powracającej.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C6E9C02" w14:textId="378E8C45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A63B2DF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398CF983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601B90D" w14:textId="7749AD49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29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B24C8B2" w14:textId="6089CB72" w:rsidR="00514B21" w:rsidRPr="005140C7" w:rsidRDefault="00514B21" w:rsidP="00514B21">
            <w:pPr>
              <w:widowControl w:val="0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hAnsi="Book Antiqua" w:cs="Times New Roman"/>
                <w:sz w:val="20"/>
                <w:szCs w:val="20"/>
              </w:rPr>
              <w:t>Taca ociekowa wbudowana w jezdną podstawę wraz z detektorem przecieku</w:t>
            </w:r>
            <w:r w:rsidR="00E6416F" w:rsidRPr="005140C7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D340525" w14:textId="7419FCFE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FB623EC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2CB3E712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97FF5F9" w14:textId="6251C75A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30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D0C1AA9" w14:textId="7659BCA8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Zacisk bezpieczeństwa na drenie powrotnym</w:t>
            </w:r>
            <w:r w:rsidR="00E641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467B0FE" w14:textId="72A8026A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8FDD3D2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7816EF1A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CB477D5" w14:textId="103F42DD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265D523" w14:textId="65F4D4C0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Automatyczna regulacja poziomu płynu w komorze odpowietrzającej</w:t>
            </w:r>
            <w:r w:rsidR="00E641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7AE6061" w14:textId="3271840F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7B439B7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79244E1C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2DFBF8B" w14:textId="34A426D1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CC3FE26" w14:textId="7C92B9FD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Automatyczna identyfikacja założonego filtra</w:t>
            </w:r>
            <w:r w:rsidR="00E641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5FA0306" w14:textId="47E40E7D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352C389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3297BED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0D5853B" w14:textId="665F9332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A64E20E" w14:textId="7B9EC106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Mechanizm uziemienia potencjałów powracających podczas pracy pompy perystaltycznej na linii krew/płyn dla wyeliminowania zakłóceń sygnału EKG</w:t>
            </w:r>
            <w:r w:rsidR="00E641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B4100B7" w14:textId="130C9F7D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7C53259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EC08975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7727797" w14:textId="40A86CC8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D62AA62" w14:textId="186213F8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 xml:space="preserve">Pomiar ciśnień: napływu krwi żylnej, zwrotu krwi do żyły, płynu odprowadzanego, na wejściu do filtra oraz </w:t>
            </w:r>
            <w:proofErr w:type="spellStart"/>
            <w:r w:rsidRPr="005140C7">
              <w:rPr>
                <w:rFonts w:ascii="Book Antiqua" w:hAnsi="Book Antiqua"/>
                <w:sz w:val="20"/>
                <w:szCs w:val="20"/>
              </w:rPr>
              <w:t>przezbłonowego</w:t>
            </w:r>
            <w:proofErr w:type="spellEnd"/>
            <w:r w:rsidRPr="005140C7">
              <w:rPr>
                <w:rFonts w:ascii="Book Antiqua" w:hAnsi="Book Antiqua"/>
                <w:sz w:val="20"/>
                <w:szCs w:val="20"/>
              </w:rPr>
              <w:t xml:space="preserve"> filtra (TMP)</w:t>
            </w:r>
            <w:r w:rsidR="00E641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D2F32DE" w14:textId="62B320CD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6BF2A24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5360D2FD" w14:textId="77777777" w:rsidTr="6D34F095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3D73D8A" w14:textId="0D2481DB" w:rsidR="00514B21" w:rsidRPr="005140C7" w:rsidRDefault="000600A5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  <w:t>Inne</w:t>
            </w:r>
          </w:p>
        </w:tc>
      </w:tr>
      <w:tr w:rsidR="00514B21" w:rsidRPr="005140C7" w14:paraId="6A09E8C6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984116F" w14:textId="1D5AE39C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A9D9D19" w14:textId="42DA9AE2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Złącza: RS-232, USB 1.0/2.0 oraz Ethernet RJ45 do komunikacji z urządzeniami zewnętrznymi</w:t>
            </w:r>
            <w:r w:rsidR="00E6416F" w:rsidRPr="005140C7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BA0B6C0" w14:textId="11F0E3F8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F8FC875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151B1264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933DD95" w14:textId="3143B8C0" w:rsidR="00514B21" w:rsidRPr="005140C7" w:rsidRDefault="00E6416F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5C854F3" w14:textId="6CE388F1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Uchwyt do umieszczenia dodatkowego filtra, służącego do eliminacji CO</w:t>
            </w:r>
            <w:r w:rsidRPr="005140C7">
              <w:rPr>
                <w:rFonts w:ascii="Book Antiqua" w:hAnsi="Book Antiqu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16FD47B" w14:textId="08C6514B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A37433B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F0363E6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E45D2DB" w14:textId="4A146F7C" w:rsidR="00514B21" w:rsidRPr="005140C7" w:rsidRDefault="6C9DE08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  <w:r w:rsidR="120C56EE"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7B6E2AA" w14:textId="679C3174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Opcja automatycznego usuwania płynu odprowadzającego, bez potrzeby ręcznej wymiany worków ściekowych.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E227C0F" w14:textId="34446B5C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BFE1F4B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14B21" w:rsidRPr="005140C7" w14:paraId="68797A35" w14:textId="77777777" w:rsidTr="6D34F095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01C5EB8" w14:textId="719CFC49" w:rsidR="00514B21" w:rsidRPr="005140C7" w:rsidRDefault="6C9DE085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  <w:r w:rsidR="0DDF10A8"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B6AB5E7" w14:textId="187BC76D" w:rsidR="00514B21" w:rsidRPr="005140C7" w:rsidRDefault="00514B21" w:rsidP="00514B21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hAnsi="Book Antiqua"/>
                <w:sz w:val="20"/>
                <w:szCs w:val="20"/>
              </w:rPr>
              <w:t>Okres gwarancji min. 24 miesiące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7D1188A" w14:textId="19896F20" w:rsidR="00514B21" w:rsidRPr="005140C7" w:rsidRDefault="00514B21" w:rsidP="00514B21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5140C7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BA733C2" w14:textId="77777777" w:rsidR="00514B21" w:rsidRPr="005140C7" w:rsidRDefault="00514B21" w:rsidP="00514B21">
            <w:pPr>
              <w:widowControl w:val="0"/>
              <w:snapToGrid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</w:tbl>
    <w:p w14:paraId="6DFB9E20" w14:textId="77777777" w:rsidR="00432A23" w:rsidRPr="005140C7" w:rsidRDefault="00432A23" w:rsidP="00432A23">
      <w:pPr>
        <w:ind w:left="-170"/>
        <w:rPr>
          <w:rFonts w:ascii="Book Antiqua" w:hAnsi="Book Antiqua"/>
          <w:sz w:val="20"/>
          <w:szCs w:val="20"/>
        </w:rPr>
      </w:pPr>
    </w:p>
    <w:p w14:paraId="70DF9E56" w14:textId="77777777" w:rsidR="003F5F8F" w:rsidRPr="005140C7" w:rsidRDefault="003F5F8F">
      <w:pPr>
        <w:ind w:left="-720"/>
        <w:jc w:val="right"/>
        <w:rPr>
          <w:rFonts w:ascii="Book Antiqua" w:hAnsi="Book Antiqua"/>
          <w:sz w:val="20"/>
          <w:szCs w:val="20"/>
        </w:rPr>
      </w:pPr>
    </w:p>
    <w:p w14:paraId="51C63F88" w14:textId="33FD2E8D" w:rsidR="63813C33" w:rsidRPr="005140C7" w:rsidRDefault="63813C33" w:rsidP="63813C33">
      <w:pPr>
        <w:ind w:left="-720"/>
        <w:jc w:val="right"/>
        <w:rPr>
          <w:rFonts w:ascii="Book Antiqua" w:hAnsi="Book Antiqua"/>
          <w:sz w:val="20"/>
          <w:szCs w:val="20"/>
        </w:rPr>
      </w:pPr>
    </w:p>
    <w:p w14:paraId="7CC1AF66" w14:textId="147B7392" w:rsidR="63813C33" w:rsidRPr="005140C7" w:rsidRDefault="63813C33" w:rsidP="63813C33">
      <w:pPr>
        <w:ind w:left="-720"/>
        <w:jc w:val="right"/>
        <w:rPr>
          <w:rFonts w:ascii="Book Antiqua" w:hAnsi="Book Antiqua"/>
          <w:sz w:val="20"/>
          <w:szCs w:val="20"/>
        </w:rPr>
      </w:pPr>
    </w:p>
    <w:p w14:paraId="74A2E1AA" w14:textId="5FAE8215" w:rsidR="4D66331D" w:rsidRPr="005140C7" w:rsidRDefault="4D66331D" w:rsidP="4D66331D">
      <w:pPr>
        <w:ind w:left="-720"/>
        <w:jc w:val="right"/>
        <w:rPr>
          <w:rFonts w:ascii="Book Antiqua" w:hAnsi="Book Antiqua"/>
          <w:sz w:val="20"/>
          <w:szCs w:val="20"/>
        </w:rPr>
      </w:pPr>
    </w:p>
    <w:p w14:paraId="77C22210" w14:textId="2AACB32C" w:rsidR="4D66331D" w:rsidRPr="005140C7" w:rsidRDefault="4D66331D" w:rsidP="4D66331D">
      <w:pPr>
        <w:ind w:left="-720"/>
        <w:jc w:val="right"/>
        <w:rPr>
          <w:rFonts w:ascii="Book Antiqua" w:eastAsia="Liberation Serif" w:hAnsi="Book Antiqua" w:cs="Liberation Serif"/>
          <w:sz w:val="20"/>
          <w:szCs w:val="20"/>
        </w:rPr>
      </w:pPr>
    </w:p>
    <w:p w14:paraId="145F4265" w14:textId="2C1A6E53" w:rsidR="4D66331D" w:rsidRPr="005140C7" w:rsidRDefault="4D66331D" w:rsidP="4D66331D">
      <w:pPr>
        <w:spacing w:after="280"/>
        <w:jc w:val="right"/>
        <w:rPr>
          <w:rFonts w:ascii="Book Antiqua" w:eastAsia="Liberation Serif" w:hAnsi="Book Antiqua" w:cs="Liberation Serif"/>
          <w:b/>
          <w:bCs/>
          <w:sz w:val="20"/>
          <w:szCs w:val="20"/>
        </w:rPr>
      </w:pPr>
    </w:p>
    <w:p w14:paraId="474DCA01" w14:textId="185EFD47" w:rsidR="4D66331D" w:rsidRPr="005140C7" w:rsidRDefault="4D66331D" w:rsidP="4D66331D">
      <w:pPr>
        <w:spacing w:after="280"/>
        <w:jc w:val="right"/>
        <w:rPr>
          <w:rFonts w:ascii="Book Antiqua" w:eastAsia="Liberation Serif" w:hAnsi="Book Antiqua" w:cs="Liberation Serif"/>
          <w:b/>
          <w:bCs/>
          <w:sz w:val="20"/>
          <w:szCs w:val="20"/>
        </w:rPr>
      </w:pPr>
    </w:p>
    <w:p w14:paraId="45FCE5A6" w14:textId="14B93A5E" w:rsidR="009B1F63" w:rsidRPr="005140C7" w:rsidRDefault="009B1F63" w:rsidP="6D34F095">
      <w:pPr>
        <w:spacing w:after="280"/>
        <w:jc w:val="right"/>
        <w:rPr>
          <w:rFonts w:ascii="Book Antiqua" w:eastAsia="Liberation Serif" w:hAnsi="Book Antiqua" w:cs="Liberation Serif"/>
          <w:b/>
          <w:bCs/>
          <w:sz w:val="20"/>
          <w:szCs w:val="20"/>
        </w:rPr>
      </w:pPr>
    </w:p>
    <w:p w14:paraId="61244CDB" w14:textId="7F1BFF11" w:rsidR="2B4B3B5F" w:rsidRPr="005140C7" w:rsidRDefault="2B4B3B5F" w:rsidP="4D66331D">
      <w:pPr>
        <w:spacing w:after="280"/>
        <w:rPr>
          <w:rFonts w:ascii="Book Antiqua" w:hAnsi="Book Antiqua"/>
          <w:sz w:val="20"/>
          <w:szCs w:val="20"/>
        </w:rPr>
      </w:pPr>
      <w:r w:rsidRPr="005140C7">
        <w:rPr>
          <w:rFonts w:ascii="Book Antiqua" w:eastAsia="Liberation Serif" w:hAnsi="Book Antiqua" w:cs="Liberation Serif"/>
          <w:b/>
          <w:bCs/>
          <w:sz w:val="20"/>
          <w:szCs w:val="20"/>
        </w:rPr>
        <w:lastRenderedPageBreak/>
        <w:t xml:space="preserve">Część </w:t>
      </w:r>
      <w:r w:rsidR="009B1F63" w:rsidRPr="005140C7">
        <w:rPr>
          <w:rFonts w:ascii="Book Antiqua" w:eastAsia="Liberation Serif" w:hAnsi="Book Antiqua" w:cs="Liberation Serif"/>
          <w:b/>
          <w:bCs/>
          <w:sz w:val="20"/>
          <w:szCs w:val="20"/>
        </w:rPr>
        <w:t>6</w:t>
      </w:r>
      <w:r w:rsidRPr="005140C7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 zadanie </w:t>
      </w:r>
      <w:r w:rsidR="009F5366">
        <w:rPr>
          <w:rFonts w:ascii="Book Antiqua" w:eastAsia="Liberation Serif" w:hAnsi="Book Antiqua" w:cs="Liberation Serif"/>
          <w:b/>
          <w:bCs/>
          <w:sz w:val="20"/>
          <w:szCs w:val="20"/>
        </w:rPr>
        <w:t>3</w:t>
      </w:r>
      <w:bookmarkStart w:id="0" w:name="_GoBack"/>
      <w:bookmarkEnd w:id="0"/>
    </w:p>
    <w:p w14:paraId="41D2A004" w14:textId="1F88E2D7" w:rsidR="2B4B3B5F" w:rsidRPr="005140C7" w:rsidRDefault="2B4B3B5F" w:rsidP="6D34F095">
      <w:pPr>
        <w:jc w:val="center"/>
        <w:rPr>
          <w:rFonts w:ascii="Book Antiqua" w:hAnsi="Book Antiqua"/>
          <w:sz w:val="20"/>
          <w:szCs w:val="20"/>
        </w:rPr>
      </w:pPr>
      <w:r w:rsidRPr="005140C7">
        <w:rPr>
          <w:rFonts w:ascii="Book Antiqua" w:eastAsia="Liberation Serif" w:hAnsi="Book Antiqua" w:cs="Liberation Serif"/>
          <w:b/>
          <w:bCs/>
          <w:sz w:val="20"/>
          <w:szCs w:val="20"/>
        </w:rPr>
        <w:t>Sukcesywne dostawy akcesoriów do aparatu do terapii nerkozastępczej z zadania nr 1</w:t>
      </w:r>
      <w:r w:rsidRPr="005140C7">
        <w:rPr>
          <w:rFonts w:ascii="Book Antiqua" w:eastAsia="Liberation Serif" w:hAnsi="Book Antiqua" w:cs="Liberation Serif"/>
          <w:sz w:val="20"/>
          <w:szCs w:val="20"/>
        </w:rPr>
        <w:t xml:space="preserve"> </w:t>
      </w:r>
    </w:p>
    <w:tbl>
      <w:tblPr>
        <w:tblW w:w="14165" w:type="dxa"/>
        <w:tblLayout w:type="fixed"/>
        <w:tblLook w:val="06A0" w:firstRow="1" w:lastRow="0" w:firstColumn="1" w:lastColumn="0" w:noHBand="1" w:noVBand="1"/>
      </w:tblPr>
      <w:tblGrid>
        <w:gridCol w:w="663"/>
        <w:gridCol w:w="4340"/>
        <w:gridCol w:w="1065"/>
        <w:gridCol w:w="930"/>
        <w:gridCol w:w="1061"/>
        <w:gridCol w:w="1650"/>
        <w:gridCol w:w="1835"/>
        <w:gridCol w:w="2621"/>
      </w:tblGrid>
      <w:tr w:rsidR="4D66331D" w:rsidRPr="005140C7" w14:paraId="48E89D68" w14:textId="77777777" w:rsidTr="6D34F095">
        <w:trPr>
          <w:trHeight w:val="300"/>
        </w:trPr>
        <w:tc>
          <w:tcPr>
            <w:tcW w:w="6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40F9D" w14:textId="18B3E327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3700D" w14:textId="38FCCD7A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Opis parametrów wymaganych</w:t>
            </w:r>
          </w:p>
        </w:tc>
        <w:tc>
          <w:tcPr>
            <w:tcW w:w="10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4C026" w14:textId="25F6F4DC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82A1A" w14:textId="50229E33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Ilości</w:t>
            </w:r>
          </w:p>
        </w:tc>
        <w:tc>
          <w:tcPr>
            <w:tcW w:w="106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CFF183" w14:textId="43130467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6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A815F5" w14:textId="395C5BDA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Wartość oferowana</w:t>
            </w:r>
          </w:p>
        </w:tc>
        <w:tc>
          <w:tcPr>
            <w:tcW w:w="1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203D7" w14:textId="4BAFE9B3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Producent </w:t>
            </w:r>
            <w:r w:rsidRPr="005140C7">
              <w:rPr>
                <w:rFonts w:ascii="Book Antiqua" w:hAnsi="Book Antiqua"/>
                <w:sz w:val="20"/>
                <w:szCs w:val="20"/>
              </w:rPr>
              <w:br/>
            </w: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i nazwa handlowa</w:t>
            </w:r>
          </w:p>
          <w:p w14:paraId="4FCE3BF0" w14:textId="494348DB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25924" w14:textId="0EA39028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Numer katalogowy</w:t>
            </w:r>
          </w:p>
        </w:tc>
      </w:tr>
      <w:tr w:rsidR="4D66331D" w:rsidRPr="005140C7" w14:paraId="5E7769C2" w14:textId="77777777" w:rsidTr="6D34F095">
        <w:trPr>
          <w:trHeight w:val="300"/>
        </w:trPr>
        <w:tc>
          <w:tcPr>
            <w:tcW w:w="6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954A1" w14:textId="2DD914E7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25CE8" w14:textId="006DCF15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CB706" w14:textId="17465C65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9FEA9" w14:textId="37DDED0A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06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2E432" w14:textId="6E3A869F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16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3078D" w14:textId="11B5C4AF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A  x B</w:t>
            </w:r>
          </w:p>
        </w:tc>
        <w:tc>
          <w:tcPr>
            <w:tcW w:w="1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F6093" w14:textId="50BF04DE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89FE9" w14:textId="335450E0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4D66331D" w:rsidRPr="005140C7" w14:paraId="214D28C4" w14:textId="77777777" w:rsidTr="6D34F095">
        <w:trPr>
          <w:trHeight w:val="585"/>
        </w:trPr>
        <w:tc>
          <w:tcPr>
            <w:tcW w:w="6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1E4FD" w14:textId="1A82D41E" w:rsidR="4D66331D" w:rsidRPr="005140C7" w:rsidRDefault="4D66331D" w:rsidP="4D66331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1</w:t>
            </w:r>
          </w:p>
        </w:tc>
        <w:tc>
          <w:tcPr>
            <w:tcW w:w="4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1940D" w14:textId="62D2F750" w:rsidR="4D66331D" w:rsidRPr="005140C7" w:rsidRDefault="6CB43BF6" w:rsidP="4D66331D">
            <w:p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Zestaw do zabiegów ciągłych nerkozastępczych (</w:t>
            </w:r>
            <w:proofErr w:type="spellStart"/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hemofiltr</w:t>
            </w:r>
            <w:proofErr w:type="spellEnd"/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z liniami do aparatu) </w:t>
            </w:r>
          </w:p>
        </w:tc>
        <w:tc>
          <w:tcPr>
            <w:tcW w:w="10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DA913" w14:textId="3ED40C7E" w:rsidR="4D66331D" w:rsidRPr="005140C7" w:rsidRDefault="6BE34925" w:rsidP="6D34F095">
            <w:pPr>
              <w:spacing w:after="12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32F744" w14:textId="31511253" w:rsidR="4D66331D" w:rsidRPr="005140C7" w:rsidRDefault="4D66331D" w:rsidP="4D66331D">
            <w:pPr>
              <w:spacing w:after="12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   </w:t>
            </w:r>
            <w:r w:rsidR="2EF4734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1</w:t>
            </w:r>
            <w:r w:rsidR="50CEED0F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0</w:t>
            </w:r>
            <w:r w:rsidR="2EF4734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98AAC" w14:textId="4D7E6B4B" w:rsidR="4D66331D" w:rsidRPr="005140C7" w:rsidRDefault="4D66331D" w:rsidP="4D66331D">
            <w:pPr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0FE74" w14:textId="5FDD5C9E" w:rsidR="4D66331D" w:rsidRPr="005140C7" w:rsidRDefault="4D66331D" w:rsidP="4D66331D">
            <w:pPr>
              <w:rPr>
                <w:rFonts w:ascii="Book Antiqua" w:eastAsia="Liberation Serif" w:hAnsi="Book Antiqua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A1097D" w14:textId="5D08242A" w:rsidR="4D66331D" w:rsidRPr="005140C7" w:rsidRDefault="4D66331D" w:rsidP="4D66331D">
            <w:pPr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0141AC" w14:textId="788A28B6" w:rsidR="4D66331D" w:rsidRPr="005140C7" w:rsidRDefault="4D66331D" w:rsidP="4D66331D">
            <w:pPr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  <w:highlight w:val="yellow"/>
              </w:rPr>
            </w:pPr>
          </w:p>
        </w:tc>
      </w:tr>
      <w:tr w:rsidR="4D66331D" w:rsidRPr="005140C7" w14:paraId="0BFB8615" w14:textId="77777777" w:rsidTr="6D34F095">
        <w:trPr>
          <w:trHeight w:val="420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3867B" w14:textId="6866F3C5" w:rsidR="4D66331D" w:rsidRPr="005140C7" w:rsidRDefault="15FBBAFB" w:rsidP="21EC15DE">
            <w:pPr>
              <w:spacing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2</w:t>
            </w:r>
          </w:p>
        </w:tc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5FE32" w14:textId="26ABE799" w:rsidR="4D66331D" w:rsidRPr="005140C7" w:rsidRDefault="4D66331D" w:rsidP="4D66331D">
            <w:p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Dren do podawania wapnia.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FBE595" w14:textId="229F0543" w:rsidR="4D66331D" w:rsidRPr="005140C7" w:rsidRDefault="2CAA75C6" w:rsidP="6D34F095">
            <w:pPr>
              <w:spacing w:after="12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8796" w14:textId="5F8F3532" w:rsidR="4D66331D" w:rsidRPr="005140C7" w:rsidRDefault="0CCA123C" w:rsidP="4D66331D">
            <w:pPr>
              <w:spacing w:after="120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5140C7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F1302" w14:textId="5D3075F9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DBEE7" w14:textId="792FEC1D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1AEC4" w14:textId="4B532B6A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AA00E" w14:textId="57651934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</w:tr>
      <w:tr w:rsidR="4D66331D" w:rsidRPr="005140C7" w14:paraId="5F76C6B2" w14:textId="77777777" w:rsidTr="6D34F095">
        <w:trPr>
          <w:trHeight w:val="375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D682F" w14:textId="5BDC4733" w:rsidR="4D66331D" w:rsidRPr="005140C7" w:rsidRDefault="7E44EA9E" w:rsidP="6581803F">
            <w:pPr>
              <w:spacing w:after="240"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3</w:t>
            </w:r>
          </w:p>
        </w:tc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917A5" w14:textId="2AE9F499" w:rsidR="4D66331D" w:rsidRPr="005140C7" w:rsidRDefault="4D66331D" w:rsidP="4D66331D">
            <w:pPr>
              <w:spacing w:after="24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Wkłady do podgrzewacza krwi .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BF587" w14:textId="2AB4EC28" w:rsidR="4D66331D" w:rsidRPr="005140C7" w:rsidRDefault="2CAA75C6" w:rsidP="6D34F095">
            <w:pPr>
              <w:spacing w:after="24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8C095" w14:textId="3C6F351F" w:rsidR="4D66331D" w:rsidRPr="005140C7" w:rsidRDefault="4D66331D" w:rsidP="4D66331D">
            <w:pPr>
              <w:spacing w:after="24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</w:t>
            </w:r>
            <w:r w:rsidR="74CA4297" w:rsidRPr="005140C7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96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B8712" w14:textId="0F396246" w:rsidR="4D66331D" w:rsidRPr="005140C7" w:rsidRDefault="4D66331D" w:rsidP="4D66331D">
            <w:pPr>
              <w:spacing w:after="24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8FA14" w14:textId="72730ABF" w:rsidR="4D66331D" w:rsidRPr="005140C7" w:rsidRDefault="4D66331D" w:rsidP="4D66331D">
            <w:pPr>
              <w:spacing w:after="240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C254A" w14:textId="7322A2E7" w:rsidR="4D66331D" w:rsidRPr="005140C7" w:rsidRDefault="4D66331D" w:rsidP="4D66331D">
            <w:pPr>
              <w:spacing w:after="24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FFD22" w14:textId="5EAEB535" w:rsidR="4D66331D" w:rsidRPr="005140C7" w:rsidRDefault="4D66331D" w:rsidP="4D66331D">
            <w:pPr>
              <w:spacing w:after="240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</w:tr>
      <w:tr w:rsidR="4D66331D" w:rsidRPr="005140C7" w14:paraId="103A1EF4" w14:textId="77777777" w:rsidTr="6D34F095">
        <w:trPr>
          <w:trHeight w:val="405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7973B" w14:textId="50D989D1" w:rsidR="4D66331D" w:rsidRPr="005140C7" w:rsidRDefault="40ED7A52" w:rsidP="6581803F">
            <w:pPr>
              <w:spacing w:after="240"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4</w:t>
            </w:r>
          </w:p>
        </w:tc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5B5FE" w14:textId="136B3471" w:rsidR="4D66331D" w:rsidRPr="005140C7" w:rsidRDefault="4D66331D" w:rsidP="4D66331D">
            <w:pPr>
              <w:spacing w:after="240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Zestaw do usuwania CO2 (ECCO2R) do samodzielnej terapii lub w połączeniu z CRRT.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98ED0" w14:textId="7FFE5C70" w:rsidR="4D66331D" w:rsidRPr="005140C7" w:rsidRDefault="18FC469F" w:rsidP="6D34F095">
            <w:pPr>
              <w:spacing w:after="24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2A0FD" w14:textId="14F0CC9A" w:rsidR="4D66331D" w:rsidRPr="005140C7" w:rsidRDefault="39DB3AAE" w:rsidP="4D66331D">
            <w:pPr>
              <w:spacing w:after="240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5140C7">
              <w:rPr>
                <w:rFonts w:ascii="Book Antiqua" w:eastAsia="Book Antiqua" w:hAnsi="Book Antiqua" w:cs="Book Antiqua"/>
                <w:sz w:val="20"/>
                <w:szCs w:val="20"/>
              </w:rPr>
              <w:t>2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34F24" w14:textId="4757FA3A" w:rsidR="4D66331D" w:rsidRPr="005140C7" w:rsidRDefault="4D66331D" w:rsidP="4D66331D">
            <w:pPr>
              <w:spacing w:after="240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2DA1A1" w14:textId="142DD557" w:rsidR="4D66331D" w:rsidRPr="005140C7" w:rsidRDefault="4D66331D" w:rsidP="4D66331D">
            <w:pPr>
              <w:spacing w:after="240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03804" w14:textId="733E6557" w:rsidR="4D66331D" w:rsidRPr="005140C7" w:rsidRDefault="4D66331D" w:rsidP="4D66331D">
            <w:pPr>
              <w:spacing w:after="240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B03F6" w14:textId="1A2958DF" w:rsidR="4D66331D" w:rsidRPr="005140C7" w:rsidRDefault="4D66331D" w:rsidP="4D66331D">
            <w:pPr>
              <w:spacing w:after="240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</w:tr>
      <w:tr w:rsidR="4D66331D" w:rsidRPr="005140C7" w14:paraId="57370F19" w14:textId="77777777" w:rsidTr="6D34F095">
        <w:trPr>
          <w:trHeight w:val="15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4CBC2C" w14:textId="6397ADDF" w:rsidR="4D66331D" w:rsidRPr="005140C7" w:rsidRDefault="1CEF58E2" w:rsidP="6581803F">
            <w:pPr>
              <w:spacing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5</w:t>
            </w:r>
          </w:p>
        </w:tc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A5A7B" w14:textId="4A670683" w:rsidR="4D66331D" w:rsidRPr="005140C7" w:rsidRDefault="4D66331D" w:rsidP="4D66331D">
            <w:p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Zestaw umożliwiający odprowadzanie</w:t>
            </w:r>
          </w:p>
          <w:p w14:paraId="37781C5A" w14:textId="2A1AF7A7" w:rsidR="4D66331D" w:rsidRPr="005140C7" w:rsidRDefault="4D66331D" w:rsidP="4D66331D">
            <w:p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ścieków bezpośrednio do kanalizacji, z linią przedłużającą.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5CA4F" w14:textId="31E609EE" w:rsidR="4D66331D" w:rsidRPr="005140C7" w:rsidRDefault="18FC469F" w:rsidP="6D34F095">
            <w:pPr>
              <w:spacing w:after="12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560B36" w14:textId="757D9F0F" w:rsidR="4D66331D" w:rsidRPr="005140C7" w:rsidRDefault="59B264C2" w:rsidP="2589DF7A">
            <w:pPr>
              <w:spacing w:after="120"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Book Antiqua" w:hAnsi="Book Antiqua" w:cs="Book Antiqua"/>
                <w:sz w:val="20"/>
                <w:szCs w:val="20"/>
              </w:rPr>
              <w:t>32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44AAA" w14:textId="48790FF4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780A6" w14:textId="7A9BEB73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235D4A" w14:textId="519846A3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857F4" w14:textId="5B546D4B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</w:tr>
      <w:tr w:rsidR="4D66331D" w:rsidRPr="005140C7" w14:paraId="3E2BA424" w14:textId="77777777" w:rsidTr="6D34F095">
        <w:trPr>
          <w:trHeight w:val="15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F7421" w14:textId="24E41825" w:rsidR="4D66331D" w:rsidRPr="005140C7" w:rsidRDefault="4F0F244E" w:rsidP="6581803F">
            <w:pPr>
              <w:spacing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6</w:t>
            </w:r>
          </w:p>
        </w:tc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EF984C" w14:textId="4B6FA5A1" w:rsidR="4D66331D" w:rsidRPr="005140C7" w:rsidRDefault="4D66331D" w:rsidP="4D66331D">
            <w:p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Zestaw cewników do dializy trzykanałowych w rozmiarze 13Fx200 mm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9ED01" w14:textId="32C2B6AA" w:rsidR="4D66331D" w:rsidRPr="005140C7" w:rsidRDefault="08D25CA4" w:rsidP="6D34F095">
            <w:pPr>
              <w:spacing w:after="12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CC1D4" w14:textId="514F960F" w:rsidR="4D66331D" w:rsidRPr="005140C7" w:rsidRDefault="24F5A427" w:rsidP="4D66331D">
            <w:pPr>
              <w:spacing w:after="120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5140C7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BC0F7C" w14:textId="4C13637A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CFFC5" w14:textId="6C436E52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95A60" w14:textId="2D8A6F66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F6239" w14:textId="6BA78D39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</w:tr>
      <w:tr w:rsidR="4D66331D" w:rsidRPr="005140C7" w14:paraId="5B30186E" w14:textId="77777777" w:rsidTr="6D34F095">
        <w:trPr>
          <w:trHeight w:val="15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D4DB2" w14:textId="6292B3B3" w:rsidR="4D66331D" w:rsidRPr="005140C7" w:rsidRDefault="5EFE5061" w:rsidP="6581803F">
            <w:pPr>
              <w:spacing w:line="259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7</w:t>
            </w:r>
          </w:p>
        </w:tc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0FD78" w14:textId="694FB2F1" w:rsidR="4D66331D" w:rsidRPr="005140C7" w:rsidRDefault="4D66331D" w:rsidP="4D66331D">
            <w:pPr>
              <w:rPr>
                <w:rFonts w:ascii="Book Antiqua" w:hAnsi="Book Antiqua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Zestaw cewników do dializy trzykanałowych w rozmiarze 13Fx250 mm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833A9C" w14:textId="7CF5F21E" w:rsidR="4D66331D" w:rsidRPr="005140C7" w:rsidRDefault="08D25CA4" w:rsidP="6D34F095">
            <w:pPr>
              <w:spacing w:after="120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6CB43BF6"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zt</w:t>
            </w:r>
            <w:r w:rsidRPr="005140C7">
              <w:rPr>
                <w:rFonts w:ascii="Book Antiqua" w:eastAsia="Liberation Serif" w:hAnsi="Book Antiqua" w:cs="Liberation Serif"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8CB44F" w14:textId="712093A7" w:rsidR="4D66331D" w:rsidRPr="005140C7" w:rsidRDefault="716688D5" w:rsidP="4D66331D">
            <w:pPr>
              <w:spacing w:after="120"/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5140C7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09158" w14:textId="1910C4C6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C2ED6" w14:textId="75FC4ACD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7312F" w14:textId="7BE9E90F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30B38" w14:textId="7381668C" w:rsidR="4D66331D" w:rsidRPr="005140C7" w:rsidRDefault="4D66331D" w:rsidP="4D66331D">
            <w:pPr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  <w:highlight w:val="yellow"/>
              </w:rPr>
            </w:pPr>
          </w:p>
        </w:tc>
      </w:tr>
      <w:tr w:rsidR="4D66331D" w:rsidRPr="005140C7" w14:paraId="4EDBAF24" w14:textId="77777777" w:rsidTr="6D34F095">
        <w:trPr>
          <w:trHeight w:val="270"/>
        </w:trPr>
        <w:tc>
          <w:tcPr>
            <w:tcW w:w="80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8986A" w14:textId="6852EE07" w:rsidR="268158B9" w:rsidRPr="005140C7" w:rsidRDefault="268158B9" w:rsidP="4D66331D">
            <w:pPr>
              <w:ind w:left="360" w:hanging="360"/>
              <w:jc w:val="right"/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  <w:highlight w:val="yellow"/>
              </w:rPr>
            </w:pPr>
            <w:r w:rsidRPr="005140C7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  <w:highlight w:val="yellow"/>
              </w:rPr>
              <w:t>SUMA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069A4" w14:textId="5F200508" w:rsidR="4D66331D" w:rsidRPr="005140C7" w:rsidRDefault="4D66331D" w:rsidP="4D66331D">
            <w:pPr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  <w:highlight w:val="yellow"/>
              </w:rPr>
            </w:pPr>
          </w:p>
        </w:tc>
        <w:tc>
          <w:tcPr>
            <w:tcW w:w="44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D0712" w14:textId="4121C41B" w:rsidR="4D66331D" w:rsidRPr="005140C7" w:rsidRDefault="4D66331D" w:rsidP="4D66331D">
            <w:pPr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  <w:highlight w:val="yellow"/>
              </w:rPr>
            </w:pPr>
          </w:p>
        </w:tc>
      </w:tr>
    </w:tbl>
    <w:p w14:paraId="78718087" w14:textId="77777777" w:rsidR="00002E97" w:rsidRDefault="00002E97" w:rsidP="00002E97">
      <w:pPr>
        <w:ind w:left="-720"/>
        <w:jc w:val="center"/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0090BCAD" w14:textId="06D01991" w:rsidR="4D66331D" w:rsidRPr="005140C7" w:rsidRDefault="00002E97" w:rsidP="00002E97">
      <w:pPr>
        <w:ind w:left="-720"/>
        <w:jc w:val="center"/>
        <w:rPr>
          <w:rFonts w:ascii="Book Antiqua" w:hAnsi="Book Antiqua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4D66331D" w:rsidRPr="005140C7" w:rsidSect="00D439AB">
      <w:headerReference w:type="default" r:id="rId7"/>
      <w:footerReference w:type="default" r:id="rId8"/>
      <w:pgSz w:w="16838" w:h="11906" w:orient="landscape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7D75C" w14:textId="77777777" w:rsidR="004F25CD" w:rsidRDefault="004F25CD" w:rsidP="002B0376">
      <w:r>
        <w:separator/>
      </w:r>
    </w:p>
  </w:endnote>
  <w:endnote w:type="continuationSeparator" w:id="0">
    <w:p w14:paraId="172B5A50" w14:textId="77777777" w:rsidR="004F25CD" w:rsidRDefault="004F25CD" w:rsidP="002B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BFDD" w14:textId="476AF88F" w:rsidR="00D439AB" w:rsidRDefault="00D439AB" w:rsidP="00D439AB">
    <w:bookmarkStart w:id="1" w:name="_Hlk138335533"/>
    <w:bookmarkStart w:id="2" w:name="_Hlk138335534"/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123"/>
      <w:gridCol w:w="8658"/>
    </w:tblGrid>
    <w:tr w:rsidR="00D439AB" w14:paraId="55E317D7" w14:textId="77777777" w:rsidTr="00D439AB">
      <w:trPr>
        <w:trHeight w:val="277"/>
      </w:trPr>
      <w:tc>
        <w:tcPr>
          <w:tcW w:w="6123" w:type="dxa"/>
          <w:shd w:val="clear" w:color="auto" w:fill="auto"/>
          <w:vAlign w:val="center"/>
        </w:tcPr>
        <w:p w14:paraId="199E4147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73AF8EA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C6C04B8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6FDED46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46845585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58" w:type="dxa"/>
          <w:shd w:val="clear" w:color="auto" w:fill="auto"/>
          <w:vAlign w:val="center"/>
        </w:tcPr>
        <w:p w14:paraId="5DD1A6E8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4EFCF915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59EC7C8F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073634C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45B54349" w14:textId="77777777" w:rsidR="00D439AB" w:rsidRDefault="00D439AB" w:rsidP="00D439AB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04168886" w14:textId="77777777" w:rsidR="00D439AB" w:rsidRPr="00065203" w:rsidRDefault="00D439AB" w:rsidP="00D439AB">
    <w:pPr>
      <w:pStyle w:val="Stopka"/>
    </w:pPr>
  </w:p>
  <w:p w14:paraId="4CB28B68" w14:textId="77777777" w:rsidR="00D439AB" w:rsidRDefault="00D4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0B07B" w14:textId="77777777" w:rsidR="004F25CD" w:rsidRDefault="004F25CD" w:rsidP="002B0376">
      <w:r>
        <w:separator/>
      </w:r>
    </w:p>
  </w:footnote>
  <w:footnote w:type="continuationSeparator" w:id="0">
    <w:p w14:paraId="6CDFDF0D" w14:textId="77777777" w:rsidR="004F25CD" w:rsidRDefault="004F25CD" w:rsidP="002B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F1B" w14:textId="77777777" w:rsidR="002B0376" w:rsidRDefault="006D006B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235240AD" wp14:editId="07777777">
          <wp:simplePos x="0" y="0"/>
          <wp:positionH relativeFrom="margin">
            <wp:posOffset>8317865</wp:posOffset>
          </wp:positionH>
          <wp:positionV relativeFrom="paragraph">
            <wp:posOffset>-330200</wp:posOffset>
          </wp:positionV>
          <wp:extent cx="998220" cy="79502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CCF">
      <w:rPr>
        <w:noProof/>
      </w:rPr>
      <w:drawing>
        <wp:inline distT="0" distB="0" distL="0" distR="0" wp14:anchorId="3F84209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F29E8" w14:textId="77777777" w:rsidR="002B0376" w:rsidRDefault="002B0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11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3A76FD6"/>
    <w:multiLevelType w:val="multilevel"/>
    <w:tmpl w:val="8DEE46B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5904111"/>
    <w:multiLevelType w:val="hybridMultilevel"/>
    <w:tmpl w:val="EE8615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4"/>
    <w:rsid w:val="00002E97"/>
    <w:rsid w:val="00052B14"/>
    <w:rsid w:val="000600A5"/>
    <w:rsid w:val="000749A7"/>
    <w:rsid w:val="000F2168"/>
    <w:rsid w:val="00104172"/>
    <w:rsid w:val="00152823"/>
    <w:rsid w:val="00166BA8"/>
    <w:rsid w:val="00255727"/>
    <w:rsid w:val="00275926"/>
    <w:rsid w:val="002B0376"/>
    <w:rsid w:val="002C495D"/>
    <w:rsid w:val="002D451A"/>
    <w:rsid w:val="0030102D"/>
    <w:rsid w:val="003C38B9"/>
    <w:rsid w:val="003F5F8F"/>
    <w:rsid w:val="00432A23"/>
    <w:rsid w:val="004373FD"/>
    <w:rsid w:val="004C4D28"/>
    <w:rsid w:val="004E05B6"/>
    <w:rsid w:val="004F25CD"/>
    <w:rsid w:val="004F598F"/>
    <w:rsid w:val="005140C7"/>
    <w:rsid w:val="00514B21"/>
    <w:rsid w:val="00585F6F"/>
    <w:rsid w:val="005C28A6"/>
    <w:rsid w:val="006052E3"/>
    <w:rsid w:val="00663AE1"/>
    <w:rsid w:val="00695C94"/>
    <w:rsid w:val="006D006B"/>
    <w:rsid w:val="007147C5"/>
    <w:rsid w:val="00732F71"/>
    <w:rsid w:val="007D3B8C"/>
    <w:rsid w:val="008443E2"/>
    <w:rsid w:val="00864698"/>
    <w:rsid w:val="008C15A8"/>
    <w:rsid w:val="009325AE"/>
    <w:rsid w:val="00992B3F"/>
    <w:rsid w:val="009A27C8"/>
    <w:rsid w:val="009B1F63"/>
    <w:rsid w:val="009F5366"/>
    <w:rsid w:val="00B20364"/>
    <w:rsid w:val="00B33C58"/>
    <w:rsid w:val="00C13424"/>
    <w:rsid w:val="00C34E1F"/>
    <w:rsid w:val="00C417AC"/>
    <w:rsid w:val="00D16338"/>
    <w:rsid w:val="00D439AB"/>
    <w:rsid w:val="00D53EAF"/>
    <w:rsid w:val="00DB02BC"/>
    <w:rsid w:val="00DF0054"/>
    <w:rsid w:val="00E32E17"/>
    <w:rsid w:val="00E6416F"/>
    <w:rsid w:val="00E70219"/>
    <w:rsid w:val="00EF0C99"/>
    <w:rsid w:val="00F368B3"/>
    <w:rsid w:val="00F927CD"/>
    <w:rsid w:val="00FB5636"/>
    <w:rsid w:val="027F6BC8"/>
    <w:rsid w:val="03CA8F87"/>
    <w:rsid w:val="04697BC5"/>
    <w:rsid w:val="08D25CA4"/>
    <w:rsid w:val="0A34051E"/>
    <w:rsid w:val="0B902DB2"/>
    <w:rsid w:val="0CCA123C"/>
    <w:rsid w:val="0D027F78"/>
    <w:rsid w:val="0DDF10A8"/>
    <w:rsid w:val="10B89D19"/>
    <w:rsid w:val="10F1127B"/>
    <w:rsid w:val="120C56EE"/>
    <w:rsid w:val="12FFD374"/>
    <w:rsid w:val="1527132F"/>
    <w:rsid w:val="15FBBAFB"/>
    <w:rsid w:val="18847C6A"/>
    <w:rsid w:val="18FC469F"/>
    <w:rsid w:val="1CEF58E2"/>
    <w:rsid w:val="212A90B7"/>
    <w:rsid w:val="21EC15DE"/>
    <w:rsid w:val="24F5A427"/>
    <w:rsid w:val="2589DF7A"/>
    <w:rsid w:val="2621BEBD"/>
    <w:rsid w:val="268158B9"/>
    <w:rsid w:val="29D4837D"/>
    <w:rsid w:val="2B4B3B5F"/>
    <w:rsid w:val="2CAA75C6"/>
    <w:rsid w:val="2CBDBFBB"/>
    <w:rsid w:val="2D14C158"/>
    <w:rsid w:val="2D78D433"/>
    <w:rsid w:val="2DAB7290"/>
    <w:rsid w:val="2EF47346"/>
    <w:rsid w:val="312FC488"/>
    <w:rsid w:val="3579940C"/>
    <w:rsid w:val="3709B2FC"/>
    <w:rsid w:val="37670C1C"/>
    <w:rsid w:val="37AB5856"/>
    <w:rsid w:val="39DB3AAE"/>
    <w:rsid w:val="3C7F56B8"/>
    <w:rsid w:val="3FA53279"/>
    <w:rsid w:val="3FD402EA"/>
    <w:rsid w:val="40ED7A52"/>
    <w:rsid w:val="4141EE86"/>
    <w:rsid w:val="43A18447"/>
    <w:rsid w:val="453FCB07"/>
    <w:rsid w:val="465C1B92"/>
    <w:rsid w:val="4733C3A7"/>
    <w:rsid w:val="4D66331D"/>
    <w:rsid w:val="4F0F244E"/>
    <w:rsid w:val="50CEED0F"/>
    <w:rsid w:val="5779E0D1"/>
    <w:rsid w:val="578B94A6"/>
    <w:rsid w:val="59B264C2"/>
    <w:rsid w:val="59D38B15"/>
    <w:rsid w:val="5D6C31B1"/>
    <w:rsid w:val="5DE92486"/>
    <w:rsid w:val="5EFE5061"/>
    <w:rsid w:val="5F08EECB"/>
    <w:rsid w:val="63813C33"/>
    <w:rsid w:val="6581803F"/>
    <w:rsid w:val="69E6845B"/>
    <w:rsid w:val="6BE34925"/>
    <w:rsid w:val="6C59E194"/>
    <w:rsid w:val="6C9DE085"/>
    <w:rsid w:val="6CB43BF6"/>
    <w:rsid w:val="6D34F095"/>
    <w:rsid w:val="6D3531EC"/>
    <w:rsid w:val="716688D5"/>
    <w:rsid w:val="7322CE1B"/>
    <w:rsid w:val="73F331D9"/>
    <w:rsid w:val="74CA4297"/>
    <w:rsid w:val="750786E0"/>
    <w:rsid w:val="78F027B2"/>
    <w:rsid w:val="7E44EA9E"/>
    <w:rsid w:val="7FB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A3B6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wiersza">
    <w:name w:val="line number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qFormat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pPr>
      <w:suppressLineNumbers/>
      <w:tabs>
        <w:tab w:val="center" w:pos="7285"/>
        <w:tab w:val="right" w:pos="14570"/>
      </w:tabs>
    </w:pPr>
  </w:style>
  <w:style w:type="paragraph" w:styleId="Bezodstpw">
    <w:name w:val="No Spacing"/>
    <w:uiPriority w:val="1"/>
    <w:qFormat/>
    <w:rsid w:val="00432A23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439AB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104172"/>
    <w:pPr>
      <w:suppressAutoHyphens w:val="0"/>
      <w:autoSpaceDN w:val="0"/>
      <w:spacing w:before="100"/>
      <w:textAlignment w:val="baseline"/>
    </w:pPr>
    <w:rPr>
      <w:rFonts w:eastAsia="SimSun, 宋体" w:cs="Mangal"/>
      <w:color w:val="00000A"/>
      <w:kern w:val="3"/>
    </w:rPr>
  </w:style>
  <w:style w:type="numbering" w:customStyle="1" w:styleId="WW8Num81">
    <w:name w:val="WW8Num81"/>
    <w:basedOn w:val="Bezlisty"/>
    <w:rsid w:val="00104172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7147C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2024-07-31T10:25:00Z</dcterms:created>
  <dcterms:modified xsi:type="dcterms:W3CDTF">2024-08-21T11:26:00Z</dcterms:modified>
</cp:coreProperties>
</file>