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77777777"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 xml:space="preserve">jakich stanowi art. 3 ustawy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2019 r. poz. 2019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5ABFEA87" w:rsidR="00456AF7" w:rsidRPr="00BD4E13" w:rsidRDefault="006E6ED1" w:rsidP="00723BC0">
            <w:pPr>
              <w:pStyle w:val="Bezodstpw"/>
              <w:jc w:val="left"/>
              <w:rPr>
                <w:b/>
                <w:color w:val="FF0000"/>
                <w:sz w:val="38"/>
                <w:szCs w:val="38"/>
              </w:rPr>
            </w:pPr>
            <w:r>
              <w:rPr>
                <w:b/>
                <w:color w:val="FF0000"/>
                <w:sz w:val="38"/>
                <w:szCs w:val="38"/>
              </w:rPr>
              <w:t xml:space="preserve">Wymiana stolarki </w:t>
            </w:r>
            <w:r w:rsidR="00723BC0">
              <w:rPr>
                <w:b/>
                <w:color w:val="FF0000"/>
                <w:sz w:val="38"/>
                <w:szCs w:val="38"/>
              </w:rPr>
              <w:t>okiennej</w:t>
            </w:r>
            <w:r>
              <w:rPr>
                <w:b/>
                <w:color w:val="FF0000"/>
                <w:sz w:val="38"/>
                <w:szCs w:val="38"/>
              </w:rPr>
              <w:t xml:space="preserve"> </w:t>
            </w:r>
            <w:r w:rsidR="006731DE">
              <w:rPr>
                <w:b/>
                <w:color w:val="FF0000"/>
                <w:sz w:val="38"/>
                <w:szCs w:val="38"/>
              </w:rPr>
              <w:t>drewnianej na PCV w </w:t>
            </w:r>
            <w:r w:rsidR="00723BC0">
              <w:rPr>
                <w:b/>
                <w:color w:val="FF0000"/>
                <w:sz w:val="38"/>
                <w:szCs w:val="38"/>
              </w:rPr>
              <w:t>zasobach</w:t>
            </w:r>
            <w:r w:rsidR="00124E41">
              <w:rPr>
                <w:b/>
                <w:color w:val="FF0000"/>
                <w:sz w:val="38"/>
                <w:szCs w:val="38"/>
              </w:rPr>
              <w:t xml:space="preserve"> gminnych </w:t>
            </w:r>
            <w:r w:rsidR="00456AF7">
              <w:rPr>
                <w:b/>
                <w:color w:val="FF0000"/>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5453F24C" w:rsidR="00E0559D" w:rsidRDefault="00124E41" w:rsidP="00E0559D">
            <w:pPr>
              <w:pStyle w:val="Bezodstpw"/>
              <w:rPr>
                <w:color w:val="5B9BD5" w:themeColor="accent1"/>
                <w:sz w:val="28"/>
                <w:szCs w:val="28"/>
              </w:rPr>
            </w:pPr>
            <w:r>
              <w:rPr>
                <w:color w:val="5B9BD5" w:themeColor="accent1"/>
                <w:sz w:val="28"/>
                <w:szCs w:val="28"/>
              </w:rPr>
              <w:t>2021-</w:t>
            </w:r>
            <w:r w:rsidR="00270282">
              <w:rPr>
                <w:color w:val="5B9BD5" w:themeColor="accent1"/>
                <w:sz w:val="28"/>
                <w:szCs w:val="28"/>
              </w:rPr>
              <w:t>06-07</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BB4411">
          <w:rPr>
            <w:noProof/>
            <w:webHidden/>
          </w:rPr>
          <w:t>2</w:t>
        </w:r>
        <w:r w:rsidR="00824CF2">
          <w:rPr>
            <w:noProof/>
            <w:webHidden/>
          </w:rPr>
          <w:fldChar w:fldCharType="end"/>
        </w:r>
      </w:hyperlink>
    </w:p>
    <w:p w14:paraId="0E082803" w14:textId="77777777" w:rsidR="00824CF2" w:rsidRDefault="00270282"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BB4411">
          <w:rPr>
            <w:noProof/>
            <w:webHidden/>
          </w:rPr>
          <w:t>3</w:t>
        </w:r>
        <w:r w:rsidR="00824CF2">
          <w:rPr>
            <w:noProof/>
            <w:webHidden/>
          </w:rPr>
          <w:fldChar w:fldCharType="end"/>
        </w:r>
      </w:hyperlink>
    </w:p>
    <w:p w14:paraId="69F3A93E" w14:textId="77777777" w:rsidR="00824CF2" w:rsidRDefault="00270282"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BB4411">
          <w:rPr>
            <w:noProof/>
            <w:webHidden/>
          </w:rPr>
          <w:t>8</w:t>
        </w:r>
        <w:r w:rsidR="00824CF2">
          <w:rPr>
            <w:noProof/>
            <w:webHidden/>
          </w:rPr>
          <w:fldChar w:fldCharType="end"/>
        </w:r>
      </w:hyperlink>
    </w:p>
    <w:p w14:paraId="43B0AB88" w14:textId="77777777" w:rsidR="00824CF2" w:rsidRDefault="00270282"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BB4411">
          <w:rPr>
            <w:noProof/>
            <w:webHidden/>
          </w:rPr>
          <w:t>8</w:t>
        </w:r>
        <w:r w:rsidR="00824CF2">
          <w:rPr>
            <w:noProof/>
            <w:webHidden/>
          </w:rPr>
          <w:fldChar w:fldCharType="end"/>
        </w:r>
      </w:hyperlink>
    </w:p>
    <w:p w14:paraId="6BB14B7B" w14:textId="77777777" w:rsidR="00824CF2" w:rsidRDefault="00270282"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w:t>
        </w:r>
        <w:bookmarkStart w:id="0" w:name="_GoBack"/>
        <w:bookmarkEnd w:id="0"/>
        <w:r w:rsidR="00824CF2" w:rsidRPr="00493997">
          <w:rPr>
            <w:rStyle w:val="Hipercze"/>
            <w:rFonts w:ascii="Arial" w:hAnsi="Arial" w:cs="Arial"/>
            <w:noProof/>
          </w:rPr>
          <w:t>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BB4411">
          <w:rPr>
            <w:noProof/>
            <w:webHidden/>
          </w:rPr>
          <w:t>9</w:t>
        </w:r>
        <w:r w:rsidR="00824CF2">
          <w:rPr>
            <w:noProof/>
            <w:webHidden/>
          </w:rPr>
          <w:fldChar w:fldCharType="end"/>
        </w:r>
      </w:hyperlink>
    </w:p>
    <w:p w14:paraId="0BA9AE0A" w14:textId="77777777" w:rsidR="00824CF2" w:rsidRDefault="00270282"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BB4411">
          <w:rPr>
            <w:noProof/>
            <w:webHidden/>
          </w:rPr>
          <w:t>11</w:t>
        </w:r>
        <w:r w:rsidR="00824CF2">
          <w:rPr>
            <w:noProof/>
            <w:webHidden/>
          </w:rPr>
          <w:fldChar w:fldCharType="end"/>
        </w:r>
      </w:hyperlink>
    </w:p>
    <w:p w14:paraId="07866EF5" w14:textId="77777777" w:rsidR="00824CF2" w:rsidRDefault="00270282"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BB4411">
          <w:rPr>
            <w:noProof/>
            <w:webHidden/>
          </w:rPr>
          <w:t>11</w:t>
        </w:r>
        <w:r w:rsidR="00824CF2">
          <w:rPr>
            <w:noProof/>
            <w:webHidden/>
          </w:rPr>
          <w:fldChar w:fldCharType="end"/>
        </w:r>
      </w:hyperlink>
    </w:p>
    <w:p w14:paraId="4B5B5EC2" w14:textId="77777777" w:rsidR="00824CF2" w:rsidRDefault="00270282"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BB4411">
          <w:rPr>
            <w:noProof/>
            <w:webHidden/>
          </w:rPr>
          <w:t>18</w:t>
        </w:r>
        <w:r w:rsidR="00824CF2">
          <w:rPr>
            <w:noProof/>
            <w:webHidden/>
          </w:rPr>
          <w:fldChar w:fldCharType="end"/>
        </w:r>
      </w:hyperlink>
    </w:p>
    <w:p w14:paraId="0B4F0355" w14:textId="77777777" w:rsidR="00824CF2" w:rsidRDefault="00270282"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BB4411">
          <w:rPr>
            <w:noProof/>
            <w:webHidden/>
          </w:rPr>
          <w:t>22</w:t>
        </w:r>
        <w:r w:rsidR="00824CF2">
          <w:rPr>
            <w:noProof/>
            <w:webHidden/>
          </w:rPr>
          <w:fldChar w:fldCharType="end"/>
        </w:r>
      </w:hyperlink>
    </w:p>
    <w:p w14:paraId="713F98F6" w14:textId="77777777" w:rsidR="00824CF2" w:rsidRDefault="00270282"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BB4411">
          <w:rPr>
            <w:noProof/>
            <w:webHidden/>
          </w:rPr>
          <w:t>23</w:t>
        </w:r>
        <w:r w:rsidR="00824CF2">
          <w:rPr>
            <w:noProof/>
            <w:webHidden/>
          </w:rPr>
          <w:fldChar w:fldCharType="end"/>
        </w:r>
      </w:hyperlink>
    </w:p>
    <w:p w14:paraId="2FDC0157" w14:textId="77777777" w:rsidR="00824CF2" w:rsidRDefault="00270282"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BB4411">
          <w:rPr>
            <w:noProof/>
            <w:webHidden/>
          </w:rPr>
          <w:t>24</w:t>
        </w:r>
        <w:r w:rsidR="00824CF2">
          <w:rPr>
            <w:noProof/>
            <w:webHidden/>
          </w:rPr>
          <w:fldChar w:fldCharType="end"/>
        </w:r>
      </w:hyperlink>
    </w:p>
    <w:p w14:paraId="262C36B5" w14:textId="77777777" w:rsidR="00824CF2" w:rsidRDefault="00270282"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BB4411">
          <w:rPr>
            <w:noProof/>
            <w:webHidden/>
          </w:rPr>
          <w:t>24</w:t>
        </w:r>
        <w:r w:rsidR="00824CF2">
          <w:rPr>
            <w:noProof/>
            <w:webHidden/>
          </w:rPr>
          <w:fldChar w:fldCharType="end"/>
        </w:r>
      </w:hyperlink>
    </w:p>
    <w:p w14:paraId="093B77E7" w14:textId="77777777" w:rsidR="00824CF2" w:rsidRDefault="00270282"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BB4411">
          <w:rPr>
            <w:noProof/>
            <w:webHidden/>
          </w:rPr>
          <w:t>26</w:t>
        </w:r>
        <w:r w:rsidR="00824CF2">
          <w:rPr>
            <w:noProof/>
            <w:webHidden/>
          </w:rPr>
          <w:fldChar w:fldCharType="end"/>
        </w:r>
      </w:hyperlink>
    </w:p>
    <w:p w14:paraId="49738A98" w14:textId="77777777" w:rsidR="00824CF2" w:rsidRDefault="00270282"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BB4411">
          <w:rPr>
            <w:noProof/>
            <w:webHidden/>
          </w:rPr>
          <w:t>27</w:t>
        </w:r>
        <w:r w:rsidR="00824CF2">
          <w:rPr>
            <w:noProof/>
            <w:webHidden/>
          </w:rPr>
          <w:fldChar w:fldCharType="end"/>
        </w:r>
      </w:hyperlink>
    </w:p>
    <w:p w14:paraId="7098D377" w14:textId="77777777" w:rsidR="00824CF2" w:rsidRDefault="00270282"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BB4411">
          <w:rPr>
            <w:noProof/>
            <w:webHidden/>
          </w:rPr>
          <w:t>27</w:t>
        </w:r>
        <w:r w:rsidR="00824CF2">
          <w:rPr>
            <w:noProof/>
            <w:webHidden/>
          </w:rPr>
          <w:fldChar w:fldCharType="end"/>
        </w:r>
      </w:hyperlink>
    </w:p>
    <w:p w14:paraId="31F56BCD" w14:textId="77777777" w:rsidR="00824CF2" w:rsidRDefault="00270282"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BB4411">
          <w:rPr>
            <w:noProof/>
            <w:webHidden/>
          </w:rPr>
          <w:t>28</w:t>
        </w:r>
        <w:r w:rsidR="00824CF2">
          <w:rPr>
            <w:noProof/>
            <w:webHidden/>
          </w:rPr>
          <w:fldChar w:fldCharType="end"/>
        </w:r>
      </w:hyperlink>
    </w:p>
    <w:p w14:paraId="2F355CC8" w14:textId="77777777" w:rsidR="00824CF2" w:rsidRDefault="00270282"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BB4411">
          <w:rPr>
            <w:noProof/>
            <w:webHidden/>
          </w:rPr>
          <w:t>28</w:t>
        </w:r>
        <w:r w:rsidR="00824CF2">
          <w:rPr>
            <w:noProof/>
            <w:webHidden/>
          </w:rPr>
          <w:fldChar w:fldCharType="end"/>
        </w:r>
      </w:hyperlink>
    </w:p>
    <w:p w14:paraId="2D353F2C" w14:textId="77777777" w:rsidR="00824CF2" w:rsidRDefault="00270282"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BB4411">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04089F07" w:rsidR="00873F51" w:rsidRPr="00873F51" w:rsidRDefault="00873F51" w:rsidP="00873F51">
      <w:pPr>
        <w:spacing w:after="0" w:line="240" w:lineRule="auto"/>
        <w:ind w:left="1418"/>
        <w:jc w:val="left"/>
        <w:rPr>
          <w:rFonts w:ascii="Arial" w:hAnsi="Arial" w:cs="Arial"/>
          <w:b/>
        </w:rPr>
      </w:pPr>
      <w:r w:rsidRPr="00873F51">
        <w:rPr>
          <w:rFonts w:ascii="Arial" w:hAnsi="Arial" w:cs="Arial"/>
          <w:b/>
        </w:rPr>
        <w:t>45421132-8 Instalowanie okien</w:t>
      </w:r>
    </w:p>
    <w:p w14:paraId="59C971EF" w14:textId="1CD50FAF" w:rsidR="00873F51" w:rsidRDefault="00873F51" w:rsidP="00873F51">
      <w:pPr>
        <w:spacing w:after="0" w:line="240" w:lineRule="auto"/>
        <w:ind w:left="1418"/>
        <w:jc w:val="left"/>
        <w:rPr>
          <w:rFonts w:ascii="Arial" w:hAnsi="Arial" w:cs="Arial"/>
          <w:b/>
        </w:rPr>
      </w:pPr>
      <w:r w:rsidRPr="00873F51">
        <w:rPr>
          <w:rFonts w:ascii="Arial" w:hAnsi="Arial" w:cs="Arial"/>
          <w:b/>
        </w:rPr>
        <w:t>45421112-2 Instalowanie ram okiennych</w:t>
      </w:r>
    </w:p>
    <w:p w14:paraId="34C775A1" w14:textId="5EED9224" w:rsidR="00873F51" w:rsidRDefault="00873F51" w:rsidP="00873F51">
      <w:pPr>
        <w:spacing w:after="0" w:line="240" w:lineRule="auto"/>
        <w:ind w:left="1418"/>
        <w:jc w:val="left"/>
        <w:rPr>
          <w:rFonts w:ascii="Arial" w:hAnsi="Arial" w:cs="Arial"/>
          <w:b/>
        </w:rPr>
      </w:pPr>
      <w:r w:rsidRPr="00873F51">
        <w:rPr>
          <w:rFonts w:ascii="Arial" w:hAnsi="Arial" w:cs="Arial"/>
          <w:b/>
        </w:rPr>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11D4F102"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okiennej PCV, demontaż starej </w:t>
      </w:r>
      <w:r w:rsidR="006731DE">
        <w:rPr>
          <w:rFonts w:ascii="Arial" w:hAnsi="Arial" w:cs="Arial"/>
          <w:b/>
        </w:rPr>
        <w:t xml:space="preserve">drewnianej i montaż nowej stolarki </w:t>
      </w:r>
      <w:r w:rsidR="00147C90" w:rsidRPr="00147C90">
        <w:rPr>
          <w:rFonts w:ascii="Arial" w:hAnsi="Arial" w:cs="Arial"/>
        </w:rPr>
        <w:t xml:space="preserve">wraz z robotami towarzyszącymi </w:t>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594259">
        <w:rPr>
          <w:rFonts w:ascii="Arial" w:hAnsi="Arial" w:cs="Arial"/>
          <w:b/>
          <w:bCs/>
        </w:rPr>
        <w:t xml:space="preserve"> </w:t>
      </w:r>
      <w:r w:rsidR="00147C90" w:rsidRPr="00147C90">
        <w:rPr>
          <w:rFonts w:ascii="Arial" w:hAnsi="Arial" w:cs="Arial"/>
          <w:b/>
          <w:bCs/>
        </w:rPr>
        <w:t>4 i 5 w Gorzowie Wlkp.</w:t>
      </w:r>
      <w:r w:rsidR="00147C90" w:rsidRPr="00147C90">
        <w:rPr>
          <w:rFonts w:ascii="Arial" w:hAnsi="Arial" w:cs="Arial"/>
          <w:bCs/>
        </w:rPr>
        <w:t xml:space="preserve"> zgodnie z zakresem prac opisanym w specyfikacjach technicznych wykonania i odbioru robót oraz wykazami adresowymi stanowiącym </w:t>
      </w:r>
      <w:r w:rsidR="004A534A" w:rsidRPr="00B66790">
        <w:rPr>
          <w:rFonts w:ascii="Arial" w:hAnsi="Arial" w:cs="Arial"/>
          <w:b/>
          <w:bCs/>
        </w:rPr>
        <w:t xml:space="preserve">załącznik nr 8 do </w:t>
      </w:r>
      <w:proofErr w:type="spellStart"/>
      <w:r w:rsidR="004A534A" w:rsidRPr="00B66790">
        <w:rPr>
          <w:rFonts w:ascii="Arial" w:hAnsi="Arial" w:cs="Arial"/>
          <w:b/>
          <w:bCs/>
        </w:rPr>
        <w:t>swz</w:t>
      </w:r>
      <w:proofErr w:type="spellEnd"/>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123332AA"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Zamawiający zastrzega sobie prawo zaniechania wymiany s</w:t>
      </w:r>
      <w:r w:rsidR="00D36F6C">
        <w:rPr>
          <w:rFonts w:ascii="Tahoma,Bold" w:hAnsi="Tahoma,Bold" w:cs="Tahoma,Bold"/>
          <w:b/>
          <w:bCs/>
          <w:sz w:val="18"/>
          <w:szCs w:val="18"/>
        </w:rPr>
        <w:t>tolarki na konkretnym adresie w </w:t>
      </w:r>
      <w:r w:rsidRPr="00815B7A">
        <w:rPr>
          <w:rFonts w:ascii="Tahoma,Bold" w:hAnsi="Tahoma,Bold" w:cs="Tahoma,Bold"/>
          <w:b/>
          <w:bCs/>
          <w:sz w:val="18"/>
          <w:szCs w:val="18"/>
        </w:rPr>
        <w:t>trakcie trwania umowy z przyczyn od niego niezależnych</w:t>
      </w:r>
      <w:r w:rsidR="00D36F6C">
        <w:rPr>
          <w:rFonts w:ascii="Tahoma,Bold" w:hAnsi="Tahoma,Bold" w:cs="Tahoma,Bold"/>
          <w:b/>
          <w:bCs/>
          <w:sz w:val="18"/>
          <w:szCs w:val="18"/>
        </w:rPr>
        <w:t>, do wartości nie wyższej niż 2 000pln netto na każdą część</w:t>
      </w:r>
      <w:r w:rsidRPr="00815B7A">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w:t>
      </w:r>
      <w:proofErr w:type="spellStart"/>
      <w:r w:rsidRPr="00286E21">
        <w:rPr>
          <w:rFonts w:ascii="Arial" w:hAnsi="Arial" w:cs="Arial"/>
          <w:sz w:val="18"/>
          <w:szCs w:val="18"/>
        </w:rPr>
        <w:t>t.j</w:t>
      </w:r>
      <w:proofErr w:type="spellEnd"/>
      <w:r w:rsidRPr="00286E21">
        <w:rPr>
          <w:rFonts w:ascii="Arial" w:hAnsi="Arial" w:cs="Arial"/>
          <w:sz w:val="18"/>
          <w:szCs w:val="18"/>
        </w:rPr>
        <w:t>.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w:t>
      </w:r>
      <w:proofErr w:type="gramStart"/>
      <w:r w:rsidR="00286E21" w:rsidRPr="00286E21">
        <w:rPr>
          <w:rFonts w:ascii="Arial" w:hAnsi="Arial" w:cs="Arial"/>
          <w:sz w:val="18"/>
          <w:szCs w:val="18"/>
        </w:rPr>
        <w:t>.). Za</w:t>
      </w:r>
      <w:proofErr w:type="gramEnd"/>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199425AF" w14:textId="77777777" w:rsidR="00594259" w:rsidRDefault="00A364C3" w:rsidP="00A364C3">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ADM-1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p>
    <w:p w14:paraId="3B21886B" w14:textId="0F0BDCC8" w:rsidR="00A364C3" w:rsidRDefault="00594259" w:rsidP="00594259">
      <w:pPr>
        <w:spacing w:after="0"/>
        <w:ind w:left="1123" w:firstLine="720"/>
        <w:rPr>
          <w:rFonts w:ascii="Arial" w:hAnsi="Arial" w:cs="Arial"/>
          <w:vertAlign w:val="superscript"/>
          <w:lang w:eastAsia="pl-PL"/>
        </w:rPr>
      </w:pPr>
      <w:r>
        <w:rPr>
          <w:rFonts w:ascii="Arial" w:hAnsi="Arial" w:cs="Arial"/>
          <w:b/>
        </w:rPr>
        <w:t>-</w:t>
      </w:r>
      <w:r w:rsidR="00270282">
        <w:rPr>
          <w:rFonts w:ascii="Arial" w:hAnsi="Arial" w:cs="Arial"/>
          <w:lang w:eastAsia="pl-PL"/>
        </w:rPr>
        <w:t xml:space="preserve"> w lokalach mieszkalnych 83</w:t>
      </w:r>
      <w:r>
        <w:rPr>
          <w:rFonts w:ascii="Arial" w:hAnsi="Arial" w:cs="Arial"/>
          <w:lang w:eastAsia="pl-PL"/>
        </w:rPr>
        <w:t xml:space="preserve"> </w:t>
      </w:r>
      <w:r w:rsidR="00147C90" w:rsidRPr="008319ED">
        <w:rPr>
          <w:rFonts w:ascii="Arial" w:hAnsi="Arial" w:cs="Arial"/>
          <w:lang w:eastAsia="pl-PL"/>
        </w:rPr>
        <w:t>szt</w:t>
      </w:r>
      <w:r>
        <w:rPr>
          <w:rFonts w:ascii="Arial" w:hAnsi="Arial" w:cs="Arial"/>
          <w:lang w:eastAsia="pl-PL"/>
        </w:rPr>
        <w:t>.</w:t>
      </w:r>
      <w:r w:rsidR="00147C90" w:rsidRPr="008319ED">
        <w:rPr>
          <w:rFonts w:ascii="Arial" w:hAnsi="Arial" w:cs="Arial"/>
          <w:lang w:eastAsia="pl-PL"/>
        </w:rPr>
        <w:t xml:space="preserve"> o łącznej powierzchni </w:t>
      </w:r>
      <w:r w:rsidR="00270282">
        <w:rPr>
          <w:rFonts w:ascii="Arial" w:hAnsi="Arial" w:cs="Arial"/>
          <w:lang w:eastAsia="pl-PL"/>
        </w:rPr>
        <w:t>155,31</w:t>
      </w:r>
      <w:r w:rsidR="00147C90" w:rsidRPr="008319ED">
        <w:rPr>
          <w:rFonts w:ascii="Arial" w:hAnsi="Arial" w:cs="Arial"/>
          <w:lang w:eastAsia="pl-PL"/>
        </w:rPr>
        <w:t>m</w:t>
      </w:r>
      <w:r w:rsidR="00147C90" w:rsidRPr="008319ED">
        <w:rPr>
          <w:rFonts w:ascii="Arial" w:hAnsi="Arial" w:cs="Arial"/>
          <w:vertAlign w:val="superscript"/>
          <w:lang w:eastAsia="pl-PL"/>
        </w:rPr>
        <w:t>2</w:t>
      </w:r>
    </w:p>
    <w:p w14:paraId="38B9184E" w14:textId="7ADD4566" w:rsidR="00594259" w:rsidRPr="00147C90" w:rsidRDefault="00594259" w:rsidP="00594259">
      <w:pPr>
        <w:spacing w:after="0"/>
        <w:ind w:left="1123" w:firstLine="720"/>
        <w:rPr>
          <w:rFonts w:ascii="Arial" w:hAnsi="Arial" w:cs="Arial"/>
        </w:rPr>
      </w:pPr>
      <w:r>
        <w:rPr>
          <w:rFonts w:ascii="Arial" w:hAnsi="Arial" w:cs="Arial"/>
          <w:b/>
        </w:rPr>
        <w:t>-</w:t>
      </w:r>
      <w:r>
        <w:rPr>
          <w:rFonts w:ascii="Arial" w:hAnsi="Arial" w:cs="Arial"/>
          <w:lang w:eastAsia="pl-PL"/>
        </w:rPr>
        <w:t xml:space="preserve"> na strychach i w piwnicach: 152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Pr>
          <w:rFonts w:ascii="Arial" w:hAnsi="Arial" w:cs="Arial"/>
          <w:lang w:eastAsia="pl-PL"/>
        </w:rPr>
        <w:t>89,65</w:t>
      </w:r>
      <w:r w:rsidRPr="008319ED">
        <w:rPr>
          <w:rFonts w:ascii="Arial" w:hAnsi="Arial" w:cs="Arial"/>
          <w:lang w:eastAsia="pl-PL"/>
        </w:rPr>
        <w:t>m</w:t>
      </w:r>
      <w:r w:rsidRPr="008319ED">
        <w:rPr>
          <w:rFonts w:ascii="Arial" w:hAnsi="Arial" w:cs="Arial"/>
          <w:vertAlign w:val="superscript"/>
          <w:lang w:eastAsia="pl-PL"/>
        </w:rPr>
        <w:t>2</w:t>
      </w:r>
    </w:p>
    <w:p w14:paraId="2FE62A33" w14:textId="4CC611CA" w:rsidR="00594259" w:rsidRPr="00147C90" w:rsidRDefault="00594259" w:rsidP="00594259">
      <w:pPr>
        <w:spacing w:after="0"/>
        <w:ind w:left="1123" w:firstLine="720"/>
        <w:rPr>
          <w:rFonts w:ascii="Arial" w:hAnsi="Arial" w:cs="Arial"/>
        </w:rPr>
      </w:pPr>
      <w:r>
        <w:rPr>
          <w:rFonts w:ascii="Arial" w:hAnsi="Arial" w:cs="Arial"/>
          <w:b/>
        </w:rPr>
        <w:t>-</w:t>
      </w:r>
      <w:r>
        <w:rPr>
          <w:rFonts w:ascii="Arial" w:hAnsi="Arial" w:cs="Arial"/>
          <w:lang w:eastAsia="pl-PL"/>
        </w:rPr>
        <w:t xml:space="preserve"> w lokalach niemieszkalnych 11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Pr>
          <w:rFonts w:ascii="Arial" w:hAnsi="Arial" w:cs="Arial"/>
          <w:lang w:eastAsia="pl-PL"/>
        </w:rPr>
        <w:t>23,65</w:t>
      </w:r>
      <w:r w:rsidRPr="008319ED">
        <w:rPr>
          <w:rFonts w:ascii="Arial" w:hAnsi="Arial" w:cs="Arial"/>
          <w:lang w:eastAsia="pl-PL"/>
        </w:rPr>
        <w:t>m</w:t>
      </w:r>
      <w:r w:rsidRPr="008319ED">
        <w:rPr>
          <w:rFonts w:ascii="Arial" w:hAnsi="Arial" w:cs="Arial"/>
          <w:vertAlign w:val="superscript"/>
          <w:lang w:eastAsia="pl-PL"/>
        </w:rPr>
        <w:t>2</w:t>
      </w:r>
    </w:p>
    <w:p w14:paraId="5AE345CA" w14:textId="434EDD94"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ADM-2 – </w:t>
      </w:r>
      <w:r w:rsidR="008319ED" w:rsidRPr="008319ED">
        <w:rPr>
          <w:rFonts w:ascii="Arial" w:hAnsi="Arial" w:cs="Arial"/>
          <w:lang w:eastAsia="pl-PL"/>
        </w:rPr>
        <w:t xml:space="preserve">obejmuje stolarką </w:t>
      </w:r>
      <w:r w:rsidR="00594259">
        <w:rPr>
          <w:rFonts w:ascii="Arial" w:hAnsi="Arial" w:cs="Arial"/>
          <w:lang w:eastAsia="pl-PL"/>
        </w:rPr>
        <w:t>w ilości:</w:t>
      </w:r>
    </w:p>
    <w:p w14:paraId="5BF933BE" w14:textId="06D362D0" w:rsidR="00594259" w:rsidRDefault="00594259" w:rsidP="00594259">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B42C52">
        <w:rPr>
          <w:rFonts w:ascii="Arial" w:hAnsi="Arial" w:cs="Arial"/>
          <w:lang w:eastAsia="pl-PL"/>
        </w:rPr>
        <w:t>100</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B42C52">
        <w:rPr>
          <w:rFonts w:ascii="Arial" w:hAnsi="Arial" w:cs="Arial"/>
          <w:lang w:eastAsia="pl-PL"/>
        </w:rPr>
        <w:t>178,13</w:t>
      </w:r>
      <w:r w:rsidRPr="008319ED">
        <w:rPr>
          <w:rFonts w:ascii="Arial" w:hAnsi="Arial" w:cs="Arial"/>
          <w:lang w:eastAsia="pl-PL"/>
        </w:rPr>
        <w:t>m</w:t>
      </w:r>
      <w:r w:rsidRPr="008319ED">
        <w:rPr>
          <w:rFonts w:ascii="Arial" w:hAnsi="Arial" w:cs="Arial"/>
          <w:vertAlign w:val="superscript"/>
          <w:lang w:eastAsia="pl-PL"/>
        </w:rPr>
        <w:t>2</w:t>
      </w:r>
    </w:p>
    <w:p w14:paraId="5B89EF7D" w14:textId="71DA8F00" w:rsidR="00594259" w:rsidRDefault="00594259" w:rsidP="00594259">
      <w:pPr>
        <w:spacing w:after="0"/>
        <w:ind w:left="1123" w:firstLine="720"/>
        <w:rPr>
          <w:rFonts w:ascii="Arial" w:hAnsi="Arial" w:cs="Arial"/>
          <w:color w:val="FF0000"/>
          <w:vertAlign w:val="superscript"/>
          <w:lang w:eastAsia="pl-PL"/>
        </w:rPr>
      </w:pPr>
      <w:r>
        <w:rPr>
          <w:rFonts w:ascii="Arial" w:hAnsi="Arial" w:cs="Arial"/>
          <w:b/>
        </w:rPr>
        <w:t>-</w:t>
      </w:r>
      <w:r w:rsidR="00B42C52">
        <w:rPr>
          <w:rFonts w:ascii="Arial" w:hAnsi="Arial" w:cs="Arial"/>
          <w:lang w:eastAsia="pl-PL"/>
        </w:rPr>
        <w:t xml:space="preserve"> w lokalach niemieszkalnych 5</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w:t>
      </w:r>
      <w:r w:rsidRPr="005A6C05">
        <w:rPr>
          <w:rFonts w:ascii="Arial" w:hAnsi="Arial" w:cs="Arial"/>
          <w:lang w:eastAsia="pl-PL"/>
        </w:rPr>
        <w:t xml:space="preserve">powierzchni </w:t>
      </w:r>
      <w:r w:rsidR="00FB2DDF" w:rsidRPr="005A6C05">
        <w:rPr>
          <w:rFonts w:ascii="Arial" w:hAnsi="Arial" w:cs="Arial"/>
          <w:lang w:eastAsia="pl-PL"/>
        </w:rPr>
        <w:t>12,76</w:t>
      </w:r>
      <w:r w:rsidRPr="005A6C05">
        <w:rPr>
          <w:rFonts w:ascii="Arial" w:hAnsi="Arial" w:cs="Arial"/>
          <w:lang w:eastAsia="pl-PL"/>
        </w:rPr>
        <w:t>m</w:t>
      </w:r>
      <w:r w:rsidRPr="005A6C05">
        <w:rPr>
          <w:rFonts w:ascii="Arial" w:hAnsi="Arial" w:cs="Arial"/>
          <w:vertAlign w:val="superscript"/>
          <w:lang w:eastAsia="pl-PL"/>
        </w:rPr>
        <w:t>2</w:t>
      </w:r>
    </w:p>
    <w:p w14:paraId="5FC3F455" w14:textId="5E835F8F" w:rsidR="005A6C05" w:rsidRPr="00147C90" w:rsidRDefault="005A6C05" w:rsidP="005A6C05">
      <w:pPr>
        <w:spacing w:after="0"/>
        <w:ind w:left="1123" w:firstLine="720"/>
        <w:rPr>
          <w:rFonts w:ascii="Arial" w:hAnsi="Arial" w:cs="Arial"/>
        </w:rPr>
      </w:pPr>
      <w:r>
        <w:rPr>
          <w:rFonts w:ascii="Arial" w:hAnsi="Arial" w:cs="Arial"/>
          <w:b/>
        </w:rPr>
        <w:t>-</w:t>
      </w:r>
      <w:r>
        <w:rPr>
          <w:rFonts w:ascii="Arial" w:hAnsi="Arial" w:cs="Arial"/>
          <w:lang w:eastAsia="pl-PL"/>
        </w:rPr>
        <w:t xml:space="preserve"> na klatkach schodowych: 7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Pr>
          <w:rFonts w:ascii="Arial" w:hAnsi="Arial" w:cs="Arial"/>
          <w:lang w:eastAsia="pl-PL"/>
        </w:rPr>
        <w:t>8,67</w:t>
      </w:r>
      <w:r w:rsidRPr="008319ED">
        <w:rPr>
          <w:rFonts w:ascii="Arial" w:hAnsi="Arial" w:cs="Arial"/>
          <w:lang w:eastAsia="pl-PL"/>
        </w:rPr>
        <w:t>m</w:t>
      </w:r>
      <w:r w:rsidRPr="008319ED">
        <w:rPr>
          <w:rFonts w:ascii="Arial" w:hAnsi="Arial" w:cs="Arial"/>
          <w:vertAlign w:val="superscript"/>
          <w:lang w:eastAsia="pl-PL"/>
        </w:rPr>
        <w:t>2</w:t>
      </w:r>
    </w:p>
    <w:p w14:paraId="7D4BAB25" w14:textId="77777777" w:rsidR="004A181D" w:rsidRDefault="00BA4928" w:rsidP="004A181D">
      <w:pPr>
        <w:spacing w:after="0"/>
        <w:ind w:left="1843" w:hanging="1123"/>
        <w:rPr>
          <w:rFonts w:ascii="Arial" w:hAnsi="Arial" w:cs="Arial"/>
          <w:lang w:eastAsia="pl-PL"/>
        </w:rPr>
      </w:pPr>
      <w:r w:rsidRPr="003476E8">
        <w:rPr>
          <w:rFonts w:ascii="Arial" w:hAnsi="Arial" w:cs="Arial"/>
          <w:b/>
        </w:rPr>
        <w:t>Część II</w:t>
      </w:r>
      <w:r>
        <w:rPr>
          <w:rFonts w:ascii="Arial" w:hAnsi="Arial" w:cs="Arial"/>
          <w:b/>
        </w:rPr>
        <w:t>I</w:t>
      </w:r>
      <w:r>
        <w:rPr>
          <w:rFonts w:ascii="Arial" w:hAnsi="Arial" w:cs="Arial"/>
        </w:rPr>
        <w:t xml:space="preserve"> – Rejon ADM-4 – </w:t>
      </w:r>
      <w:r w:rsidR="004A181D" w:rsidRPr="008319ED">
        <w:rPr>
          <w:rFonts w:ascii="Arial" w:hAnsi="Arial" w:cs="Arial"/>
          <w:lang w:eastAsia="pl-PL"/>
        </w:rPr>
        <w:t xml:space="preserve">obejmuje stolarką </w:t>
      </w:r>
      <w:r w:rsidR="004A181D">
        <w:rPr>
          <w:rFonts w:ascii="Arial" w:hAnsi="Arial" w:cs="Arial"/>
          <w:lang w:eastAsia="pl-PL"/>
        </w:rPr>
        <w:t>w ilości:</w:t>
      </w:r>
    </w:p>
    <w:p w14:paraId="5AF19882" w14:textId="3F367CF1" w:rsidR="004A181D" w:rsidRDefault="004A181D" w:rsidP="004A181D">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50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Pr>
          <w:rFonts w:ascii="Arial" w:hAnsi="Arial" w:cs="Arial"/>
          <w:lang w:eastAsia="pl-PL"/>
        </w:rPr>
        <w:t>71,64</w:t>
      </w:r>
      <w:r w:rsidRPr="008319ED">
        <w:rPr>
          <w:rFonts w:ascii="Arial" w:hAnsi="Arial" w:cs="Arial"/>
          <w:lang w:eastAsia="pl-PL"/>
        </w:rPr>
        <w:t>m</w:t>
      </w:r>
      <w:r w:rsidRPr="008319ED">
        <w:rPr>
          <w:rFonts w:ascii="Arial" w:hAnsi="Arial" w:cs="Arial"/>
          <w:vertAlign w:val="superscript"/>
          <w:lang w:eastAsia="pl-PL"/>
        </w:rPr>
        <w:t>2</w:t>
      </w:r>
    </w:p>
    <w:p w14:paraId="0174ACFD" w14:textId="56AC31B6" w:rsidR="004A181D" w:rsidRPr="00147C90" w:rsidRDefault="004A181D" w:rsidP="004A181D">
      <w:pPr>
        <w:spacing w:after="0"/>
        <w:ind w:left="1123" w:firstLine="720"/>
        <w:rPr>
          <w:rFonts w:ascii="Arial" w:hAnsi="Arial" w:cs="Arial"/>
        </w:rPr>
      </w:pPr>
      <w:r>
        <w:rPr>
          <w:rFonts w:ascii="Arial" w:hAnsi="Arial" w:cs="Arial"/>
          <w:b/>
        </w:rPr>
        <w:t>-</w:t>
      </w:r>
      <w:r>
        <w:rPr>
          <w:rFonts w:ascii="Arial" w:hAnsi="Arial" w:cs="Arial"/>
          <w:lang w:eastAsia="pl-PL"/>
        </w:rPr>
        <w:t xml:space="preserve"> w lokalach niemieszkalnych 1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w:t>
      </w:r>
      <w:r w:rsidRPr="004A181D">
        <w:rPr>
          <w:rFonts w:ascii="Arial" w:hAnsi="Arial" w:cs="Arial"/>
          <w:lang w:eastAsia="pl-PL"/>
        </w:rPr>
        <w:t>łącznej powierzchni 0,92m</w:t>
      </w:r>
      <w:r w:rsidRPr="004A181D">
        <w:rPr>
          <w:rFonts w:ascii="Arial" w:hAnsi="Arial" w:cs="Arial"/>
          <w:vertAlign w:val="superscript"/>
          <w:lang w:eastAsia="pl-PL"/>
        </w:rPr>
        <w:t>2</w:t>
      </w:r>
    </w:p>
    <w:p w14:paraId="668ED3AE" w14:textId="77777777" w:rsidR="00B42C52" w:rsidRDefault="00147C90" w:rsidP="00B42C52">
      <w:pPr>
        <w:spacing w:after="0"/>
        <w:ind w:left="1843" w:hanging="1123"/>
        <w:rPr>
          <w:rFonts w:ascii="Arial" w:hAnsi="Arial" w:cs="Arial"/>
          <w:lang w:eastAsia="pl-PL"/>
        </w:rPr>
      </w:pPr>
      <w:r>
        <w:rPr>
          <w:rFonts w:ascii="Arial" w:hAnsi="Arial" w:cs="Arial"/>
          <w:b/>
        </w:rPr>
        <w:t>Część IV</w:t>
      </w:r>
      <w:r>
        <w:rPr>
          <w:rFonts w:ascii="Arial" w:hAnsi="Arial" w:cs="Arial"/>
        </w:rPr>
        <w:t xml:space="preserve"> – Rejon ADM-5 – </w:t>
      </w:r>
      <w:r w:rsidR="00B42C52" w:rsidRPr="008319ED">
        <w:rPr>
          <w:rFonts w:ascii="Arial" w:hAnsi="Arial" w:cs="Arial"/>
          <w:lang w:eastAsia="pl-PL"/>
        </w:rPr>
        <w:t xml:space="preserve">obejmuje stolarką </w:t>
      </w:r>
      <w:r w:rsidR="00B42C52">
        <w:rPr>
          <w:rFonts w:ascii="Arial" w:hAnsi="Arial" w:cs="Arial"/>
          <w:lang w:eastAsia="pl-PL"/>
        </w:rPr>
        <w:t>w ilości:</w:t>
      </w:r>
    </w:p>
    <w:p w14:paraId="105B9879" w14:textId="5D203082" w:rsidR="00B42C52" w:rsidRDefault="00B42C52" w:rsidP="00B42C52">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286E21">
        <w:rPr>
          <w:rFonts w:ascii="Arial" w:hAnsi="Arial" w:cs="Arial"/>
          <w:lang w:eastAsia="pl-PL"/>
        </w:rPr>
        <w:t xml:space="preserve">(wraz z oknami na </w:t>
      </w:r>
      <w:proofErr w:type="spellStart"/>
      <w:r w:rsidR="00286E21">
        <w:rPr>
          <w:rFonts w:ascii="Arial" w:hAnsi="Arial" w:cs="Arial"/>
          <w:lang w:eastAsia="pl-PL"/>
        </w:rPr>
        <w:t>strychach</w:t>
      </w:r>
      <w:proofErr w:type="gramStart"/>
      <w:r w:rsidR="00286E21">
        <w:rPr>
          <w:rFonts w:ascii="Arial" w:hAnsi="Arial" w:cs="Arial"/>
          <w:lang w:eastAsia="pl-PL"/>
        </w:rPr>
        <w:t>,w</w:t>
      </w:r>
      <w:proofErr w:type="spellEnd"/>
      <w:proofErr w:type="gramEnd"/>
      <w:r w:rsidR="00286E21">
        <w:rPr>
          <w:rFonts w:ascii="Arial" w:hAnsi="Arial" w:cs="Arial"/>
          <w:lang w:eastAsia="pl-PL"/>
        </w:rPr>
        <w:t xml:space="preserve"> piwnicach i na klatkach schodowych): </w:t>
      </w:r>
      <w:r>
        <w:rPr>
          <w:rFonts w:ascii="Arial" w:hAnsi="Arial" w:cs="Arial"/>
          <w:lang w:eastAsia="pl-PL"/>
        </w:rPr>
        <w:t>71</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Pr>
          <w:rFonts w:ascii="Arial" w:hAnsi="Arial" w:cs="Arial"/>
          <w:lang w:eastAsia="pl-PL"/>
        </w:rPr>
        <w:t>97,44</w:t>
      </w:r>
      <w:r w:rsidRPr="008319ED">
        <w:rPr>
          <w:rFonts w:ascii="Arial" w:hAnsi="Arial" w:cs="Arial"/>
          <w:lang w:eastAsia="pl-PL"/>
        </w:rPr>
        <w:t>m</w:t>
      </w:r>
      <w:r w:rsidRPr="008319ED">
        <w:rPr>
          <w:rFonts w:ascii="Arial" w:hAnsi="Arial" w:cs="Arial"/>
          <w:vertAlign w:val="superscript"/>
          <w:lang w:eastAsia="pl-PL"/>
        </w:rPr>
        <w:t>2</w:t>
      </w:r>
    </w:p>
    <w:p w14:paraId="24F520C4" w14:textId="621AB9FA" w:rsidR="00B42C52" w:rsidRPr="00147C90" w:rsidRDefault="00B42C52" w:rsidP="00B42C52">
      <w:pPr>
        <w:spacing w:after="0"/>
        <w:ind w:left="1123" w:firstLine="720"/>
        <w:rPr>
          <w:rFonts w:ascii="Arial" w:hAnsi="Arial" w:cs="Arial"/>
        </w:rPr>
      </w:pPr>
      <w:r>
        <w:rPr>
          <w:rFonts w:ascii="Arial" w:hAnsi="Arial" w:cs="Arial"/>
          <w:b/>
        </w:rPr>
        <w:t>-</w:t>
      </w:r>
      <w:r>
        <w:rPr>
          <w:rFonts w:ascii="Arial" w:hAnsi="Arial" w:cs="Arial"/>
          <w:lang w:eastAsia="pl-PL"/>
        </w:rPr>
        <w:t xml:space="preserve"> w lokalach niemieszkalnych 1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Pr="00B42C52">
        <w:rPr>
          <w:rFonts w:ascii="Arial" w:hAnsi="Arial" w:cs="Arial"/>
          <w:lang w:eastAsia="pl-PL"/>
        </w:rPr>
        <w:t>1,40m</w:t>
      </w:r>
      <w:r w:rsidRPr="00B42C52">
        <w:rPr>
          <w:rFonts w:ascii="Arial" w:hAnsi="Arial" w:cs="Arial"/>
          <w:vertAlign w:val="superscript"/>
          <w:lang w:eastAsia="pl-PL"/>
        </w:rPr>
        <w:t>2</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33D8D45A"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20138AD0"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w:t>
      </w:r>
      <w:proofErr w:type="gramStart"/>
      <w:r w:rsidRPr="00286E21">
        <w:rPr>
          <w:rFonts w:ascii="Arial" w:hAnsi="Arial" w:cs="Arial"/>
        </w:rPr>
        <w:t>dotyczy wi</w:t>
      </w:r>
      <w:r w:rsidRPr="00286E21">
        <w:rPr>
          <w:rFonts w:ascii="Arial" w:eastAsia="Times New Roman" w:hAnsi="Arial" w:cs="Arial"/>
        </w:rPr>
        <w:t>ę</w:t>
      </w:r>
      <w:r w:rsidRPr="00286E21">
        <w:rPr>
          <w:rFonts w:ascii="Arial" w:hAnsi="Arial" w:cs="Arial"/>
        </w:rPr>
        <w:t>c</w:t>
      </w:r>
      <w:proofErr w:type="gramEnd"/>
      <w:r w:rsidRPr="00286E21">
        <w:rPr>
          <w:rFonts w:ascii="Arial" w:hAnsi="Arial" w:cs="Arial"/>
        </w:rPr>
        <w:t xml:space="preserve">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w:t>
      </w:r>
      <w:proofErr w:type="spellStart"/>
      <w:r w:rsidR="002F12A8" w:rsidRPr="002F12A8">
        <w:rPr>
          <w:rFonts w:ascii="Arial" w:hAnsi="Arial" w:cs="Arial"/>
          <w:color w:val="000000" w:themeColor="text1"/>
        </w:rPr>
        <w:t>Pzp</w:t>
      </w:r>
      <w:proofErr w:type="spellEnd"/>
      <w:r w:rsidR="002F12A8" w:rsidRPr="002F12A8">
        <w:rPr>
          <w:rFonts w:ascii="Arial" w:hAnsi="Arial" w:cs="Arial"/>
          <w:color w:val="000000" w:themeColor="text1"/>
        </w:rPr>
        <w:t xml:space="preserve">,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w 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Default="00C0310E" w:rsidP="00857167">
      <w:pPr>
        <w:spacing w:after="0"/>
        <w:ind w:left="720"/>
        <w:rPr>
          <w:rFonts w:ascii="Arial" w:hAnsi="Arial" w:cs="Arial"/>
          <w:color w:val="FF0000"/>
        </w:rPr>
      </w:pPr>
    </w:p>
    <w:p w14:paraId="23EB46CA" w14:textId="77777777" w:rsidR="008C601C" w:rsidRDefault="008C601C" w:rsidP="008C601C">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407844F"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7F6B84C4" w14:textId="77777777" w:rsidR="008C601C" w:rsidRDefault="008C601C" w:rsidP="008C601C">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AD14AA3"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2A293DBC"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0B322C1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1ED148B1"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5DDE70D6"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399BA6F9"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w:t>
      </w:r>
      <w:proofErr w:type="spellStart"/>
      <w:r>
        <w:rPr>
          <w:rFonts w:ascii="Arial" w:hAnsi="Arial" w:cs="Arial"/>
        </w:rPr>
        <w:t>Pzp</w:t>
      </w:r>
      <w:proofErr w:type="spellEnd"/>
      <w:r>
        <w:rPr>
          <w:rFonts w:ascii="Arial" w:hAnsi="Arial" w:cs="Arial"/>
        </w:rPr>
        <w:t xml:space="preserve">,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23616125"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69D8953E" w14:textId="77777777" w:rsidR="008C601C" w:rsidRDefault="008C601C" w:rsidP="008C601C">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4E24C55" w14:textId="77777777" w:rsidR="008C601C" w:rsidRDefault="008C601C" w:rsidP="008C601C">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897266D" w14:textId="77777777" w:rsidR="008C601C" w:rsidRDefault="008C601C" w:rsidP="008C601C">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9AA23BB" w14:textId="77777777" w:rsidR="008C601C" w:rsidRDefault="008C601C" w:rsidP="008C601C">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5F296146"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518597F0"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0D22C668" w14:textId="77777777" w:rsidR="008C601C" w:rsidRDefault="008C601C" w:rsidP="008C601C">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0A222CB2" w14:textId="77777777" w:rsidR="008C601C" w:rsidRDefault="008C601C" w:rsidP="008C601C">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5C1962E2" w14:textId="77777777" w:rsidR="008C601C" w:rsidRDefault="008C601C" w:rsidP="008C601C">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4F3571C" w14:textId="77777777" w:rsidR="008C601C" w:rsidRDefault="008C601C" w:rsidP="008C601C">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61B34D" w14:textId="77777777" w:rsidR="008C601C" w:rsidRDefault="008C601C" w:rsidP="008C601C">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3D285A8E" w14:textId="77777777" w:rsidR="008C601C" w:rsidRDefault="008C601C" w:rsidP="008C601C">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1753B448" w14:textId="77777777" w:rsidR="008C601C" w:rsidRPr="00A06D91" w:rsidRDefault="008C601C"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43E25D29"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005A08A9">
        <w:rPr>
          <w:rFonts w:ascii="Arial" w:hAnsi="Arial" w:cs="Arial"/>
          <w:b/>
          <w:bCs/>
        </w:rPr>
        <w:t>części I: ADM-1</w:t>
      </w:r>
      <w:r w:rsidRPr="008011DF">
        <w:rPr>
          <w:rFonts w:ascii="Arial" w:hAnsi="Arial" w:cs="Arial"/>
          <w:b/>
          <w:bCs/>
        </w:rPr>
        <w:t>–</w:t>
      </w:r>
      <w:r w:rsidR="008011DF" w:rsidRPr="008011DF">
        <w:rPr>
          <w:rFonts w:ascii="Arial" w:hAnsi="Arial" w:cs="Arial"/>
          <w:b/>
          <w:bCs/>
        </w:rPr>
        <w:t xml:space="preserve"> </w:t>
      </w:r>
      <w:r w:rsidR="00594259">
        <w:rPr>
          <w:rFonts w:ascii="Arial" w:hAnsi="Arial" w:cs="Arial"/>
          <w:b/>
          <w:bCs/>
        </w:rPr>
        <w:t>do 3</w:t>
      </w:r>
      <w:r w:rsidR="008011DF" w:rsidRPr="008011DF">
        <w:rPr>
          <w:rFonts w:ascii="Arial" w:hAnsi="Arial" w:cs="Arial"/>
          <w:b/>
          <w:bCs/>
        </w:rPr>
        <w:t xml:space="preserve"> miesi</w:t>
      </w:r>
      <w:r w:rsidR="00594259">
        <w:rPr>
          <w:rFonts w:ascii="Arial" w:hAnsi="Arial" w:cs="Arial"/>
          <w:b/>
          <w:bCs/>
        </w:rPr>
        <w:t>ę</w:t>
      </w:r>
      <w:r w:rsidR="008011DF" w:rsidRPr="008011DF">
        <w:rPr>
          <w:rFonts w:ascii="Arial" w:hAnsi="Arial" w:cs="Arial"/>
          <w:b/>
          <w:bCs/>
        </w:rPr>
        <w:t>c</w:t>
      </w:r>
      <w:r w:rsidR="00594259">
        <w:rPr>
          <w:rFonts w:ascii="Arial" w:hAnsi="Arial" w:cs="Arial"/>
          <w:b/>
          <w:bCs/>
        </w:rPr>
        <w:t>y</w:t>
      </w:r>
      <w:r w:rsidR="008011DF" w:rsidRPr="008011DF">
        <w:rPr>
          <w:rFonts w:ascii="Arial" w:hAnsi="Arial" w:cs="Arial"/>
          <w:b/>
          <w:bCs/>
        </w:rPr>
        <w:t xml:space="preserve"> od podpisania umowy</w:t>
      </w:r>
    </w:p>
    <w:p w14:paraId="7D4AB6D1" w14:textId="7DE48167" w:rsidR="00C703A2"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II</w:t>
      </w:r>
      <w:r w:rsidR="005A08A9">
        <w:rPr>
          <w:rFonts w:ascii="Arial" w:hAnsi="Arial" w:cs="Arial"/>
          <w:b/>
          <w:bCs/>
        </w:rPr>
        <w:t>: ADM-2</w:t>
      </w:r>
      <w:r w:rsidRPr="008011DF">
        <w:rPr>
          <w:rFonts w:ascii="Arial" w:hAnsi="Arial" w:cs="Arial"/>
          <w:b/>
          <w:bCs/>
        </w:rPr>
        <w:t xml:space="preserve"> – </w:t>
      </w:r>
      <w:r w:rsidR="00B42C52">
        <w:rPr>
          <w:rFonts w:ascii="Arial" w:hAnsi="Arial" w:cs="Arial"/>
          <w:b/>
          <w:bCs/>
        </w:rPr>
        <w:t>do 4</w:t>
      </w:r>
      <w:r w:rsidR="00734985" w:rsidRPr="008011DF">
        <w:rPr>
          <w:rFonts w:ascii="Arial" w:hAnsi="Arial" w:cs="Arial"/>
          <w:b/>
          <w:bCs/>
        </w:rPr>
        <w:t xml:space="preserve"> </w:t>
      </w:r>
      <w:r w:rsidR="00B42C52" w:rsidRPr="008011DF">
        <w:rPr>
          <w:rFonts w:ascii="Arial" w:hAnsi="Arial" w:cs="Arial"/>
          <w:b/>
          <w:bCs/>
        </w:rPr>
        <w:t>miesi</w:t>
      </w:r>
      <w:r w:rsidR="00B42C52">
        <w:rPr>
          <w:rFonts w:ascii="Arial" w:hAnsi="Arial" w:cs="Arial"/>
          <w:b/>
          <w:bCs/>
        </w:rPr>
        <w:t>ę</w:t>
      </w:r>
      <w:r w:rsidR="00B42C52" w:rsidRPr="008011DF">
        <w:rPr>
          <w:rFonts w:ascii="Arial" w:hAnsi="Arial" w:cs="Arial"/>
          <w:b/>
          <w:bCs/>
        </w:rPr>
        <w:t>c</w:t>
      </w:r>
      <w:r w:rsidR="00B42C52">
        <w:rPr>
          <w:rFonts w:ascii="Arial" w:hAnsi="Arial" w:cs="Arial"/>
          <w:b/>
          <w:bCs/>
        </w:rPr>
        <w:t>y</w:t>
      </w:r>
      <w:r w:rsidR="00734985" w:rsidRPr="008011DF">
        <w:rPr>
          <w:rFonts w:ascii="Arial" w:hAnsi="Arial" w:cs="Arial"/>
          <w:b/>
          <w:bCs/>
        </w:rPr>
        <w:t xml:space="preserve"> od podpisania umowy</w:t>
      </w:r>
    </w:p>
    <w:p w14:paraId="2D5D4DA9" w14:textId="1EBD5F4B" w:rsidR="008011DF" w:rsidRPr="00306607" w:rsidRDefault="008011DF" w:rsidP="00414271">
      <w:pPr>
        <w:pStyle w:val="Akapitzlist"/>
        <w:numPr>
          <w:ilvl w:val="0"/>
          <w:numId w:val="41"/>
        </w:numPr>
        <w:spacing w:line="240" w:lineRule="auto"/>
        <w:ind w:left="1134" w:hanging="283"/>
        <w:rPr>
          <w:rFonts w:ascii="Arial" w:hAnsi="Arial" w:cs="Arial"/>
          <w:bCs/>
        </w:rPr>
      </w:pPr>
      <w:r w:rsidRPr="00306607">
        <w:rPr>
          <w:rFonts w:ascii="Arial" w:hAnsi="Arial" w:cs="Arial"/>
          <w:bCs/>
        </w:rPr>
        <w:t xml:space="preserve">W zakresie </w:t>
      </w:r>
      <w:r w:rsidR="005A08A9">
        <w:rPr>
          <w:rFonts w:ascii="Arial" w:hAnsi="Arial" w:cs="Arial"/>
          <w:b/>
          <w:bCs/>
        </w:rPr>
        <w:t>części III: ADM-4</w:t>
      </w:r>
      <w:r w:rsidR="00306607" w:rsidRPr="00306607">
        <w:rPr>
          <w:rFonts w:ascii="Arial" w:hAnsi="Arial" w:cs="Arial"/>
          <w:b/>
          <w:bCs/>
        </w:rPr>
        <w:t xml:space="preserve">– do 4 miesięcy </w:t>
      </w:r>
      <w:r w:rsidRPr="00306607">
        <w:rPr>
          <w:rFonts w:ascii="Arial" w:hAnsi="Arial" w:cs="Arial"/>
          <w:b/>
          <w:bCs/>
        </w:rPr>
        <w:t>od podpisania umowy</w:t>
      </w:r>
    </w:p>
    <w:p w14:paraId="2ADA6143" w14:textId="457EDDB2" w:rsidR="00CF688E" w:rsidRPr="00B42C52"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Pr="00B42C52">
        <w:rPr>
          <w:rFonts w:ascii="Arial" w:hAnsi="Arial" w:cs="Arial"/>
          <w:b/>
          <w:bCs/>
        </w:rPr>
        <w:t>części IV</w:t>
      </w:r>
      <w:r w:rsidR="005A08A9">
        <w:rPr>
          <w:rFonts w:ascii="Arial" w:hAnsi="Arial" w:cs="Arial"/>
          <w:b/>
          <w:bCs/>
        </w:rPr>
        <w:t>: ADM-5</w:t>
      </w:r>
      <w:r w:rsidRPr="00B42C52">
        <w:rPr>
          <w:rFonts w:ascii="Arial" w:hAnsi="Arial" w:cs="Arial"/>
          <w:b/>
          <w:bCs/>
        </w:rPr>
        <w:t xml:space="preserve"> – </w:t>
      </w:r>
      <w:r w:rsidR="00B42C52" w:rsidRPr="00B42C52">
        <w:rPr>
          <w:rFonts w:ascii="Arial" w:hAnsi="Arial" w:cs="Arial"/>
          <w:b/>
          <w:bCs/>
        </w:rPr>
        <w:t>3</w:t>
      </w:r>
      <w:r w:rsidRPr="00B42C52">
        <w:rPr>
          <w:rFonts w:ascii="Arial" w:hAnsi="Arial" w:cs="Arial"/>
          <w:b/>
          <w:bCs/>
        </w:rPr>
        <w:t xml:space="preserve"> miesiące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7EB546D0" w:rsidR="00F25682" w:rsidRPr="00447CDE" w:rsidRDefault="00F25682" w:rsidP="00F179D0">
      <w:pPr>
        <w:widowControl w:val="0"/>
        <w:numPr>
          <w:ilvl w:val="0"/>
          <w:numId w:val="1"/>
        </w:numPr>
        <w:autoSpaceDE w:val="0"/>
        <w:autoSpaceDN w:val="0"/>
        <w:adjustRightInd w:val="0"/>
        <w:spacing w:after="0" w:line="276" w:lineRule="auto"/>
        <w:ind w:right="137"/>
        <w:rPr>
          <w:rFonts w:ascii="Arial" w:hAnsi="Arial" w:cs="Arial"/>
          <w:color w:val="FF0000"/>
        </w:rPr>
      </w:pPr>
      <w:r w:rsidRPr="00447CDE">
        <w:rPr>
          <w:rFonts w:ascii="Arial" w:hAnsi="Arial" w:cs="Arial"/>
          <w:color w:val="FF0000"/>
        </w:rPr>
        <w:t xml:space="preserve">Wykonawca jest związany ofertą </w:t>
      </w:r>
      <w:r w:rsidR="007E7EF7">
        <w:rPr>
          <w:rFonts w:ascii="Arial" w:hAnsi="Arial" w:cs="Arial"/>
          <w:color w:val="FF0000"/>
        </w:rPr>
        <w:t xml:space="preserve">przez okres 30 dni </w:t>
      </w:r>
      <w:r w:rsidRPr="00447CDE">
        <w:rPr>
          <w:rFonts w:ascii="Arial" w:hAnsi="Arial" w:cs="Arial"/>
          <w:color w:val="FF0000"/>
        </w:rPr>
        <w:t>od dnia upływu terminu składania ofert</w:t>
      </w:r>
      <w:r w:rsidR="007E7EF7">
        <w:rPr>
          <w:rFonts w:ascii="Arial" w:hAnsi="Arial" w:cs="Arial"/>
          <w:color w:val="FF0000"/>
        </w:rPr>
        <w:t xml:space="preserve">, tj. </w:t>
      </w:r>
      <w:r w:rsidRPr="005E4A8A">
        <w:rPr>
          <w:rFonts w:ascii="Arial" w:hAnsi="Arial" w:cs="Arial"/>
          <w:b/>
          <w:color w:val="FF0000"/>
          <w:sz w:val="28"/>
          <w:szCs w:val="28"/>
        </w:rPr>
        <w:t xml:space="preserve">do dnia </w:t>
      </w:r>
      <w:r w:rsidR="005E4A8A" w:rsidRPr="005E4A8A">
        <w:rPr>
          <w:rFonts w:ascii="Arial" w:hAnsi="Arial" w:cs="Arial"/>
          <w:b/>
          <w:color w:val="FF0000"/>
          <w:sz w:val="28"/>
          <w:szCs w:val="28"/>
        </w:rPr>
        <w:t>22.07.</w:t>
      </w:r>
      <w:r w:rsidRPr="005E4A8A">
        <w:rPr>
          <w:rFonts w:ascii="Arial" w:hAnsi="Arial" w:cs="Arial"/>
          <w:b/>
          <w:color w:val="FF0000"/>
          <w:sz w:val="28"/>
          <w:szCs w:val="28"/>
        </w:rPr>
        <w:t xml:space="preserve">2021 </w:t>
      </w:r>
      <w:proofErr w:type="gramStart"/>
      <w:r w:rsidRPr="005E4A8A">
        <w:rPr>
          <w:rFonts w:ascii="Arial" w:hAnsi="Arial" w:cs="Arial"/>
          <w:b/>
          <w:color w:val="FF0000"/>
          <w:sz w:val="28"/>
          <w:szCs w:val="28"/>
        </w:rPr>
        <w:t>r</w:t>
      </w:r>
      <w:proofErr w:type="gramEnd"/>
      <w:r w:rsidRPr="005E4A8A">
        <w:rPr>
          <w:rFonts w:ascii="Arial" w:hAnsi="Arial" w:cs="Arial"/>
          <w:b/>
          <w:color w:val="FF0000"/>
          <w:sz w:val="28"/>
          <w:szCs w:val="28"/>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47F3672B"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polegające na </w:t>
      </w:r>
      <w:r w:rsidR="00CF688E" w:rsidRPr="00D36F6C">
        <w:rPr>
          <w:rFonts w:ascii="Arial" w:hAnsi="Arial" w:cs="Arial"/>
          <w:b/>
        </w:rPr>
        <w:t>dostawie i wymianie stolarki okiennej, lub dostawie i montażu stolarki okiennej o łącznej wartości min.:</w:t>
      </w:r>
    </w:p>
    <w:p w14:paraId="5FC9ADFE" w14:textId="1A6AB1B1" w:rsidR="00CF688E" w:rsidRPr="00D36F6C" w:rsidRDefault="00CF688E" w:rsidP="009E47A7">
      <w:pPr>
        <w:spacing w:after="0" w:line="276" w:lineRule="auto"/>
        <w:ind w:left="1276" w:hanging="425"/>
        <w:rPr>
          <w:rFonts w:ascii="Arial" w:hAnsi="Arial" w:cs="Arial"/>
          <w:b/>
        </w:rPr>
      </w:pPr>
      <w:r w:rsidRPr="00D36F6C">
        <w:rPr>
          <w:rFonts w:ascii="Arial" w:hAnsi="Arial" w:cs="Arial"/>
          <w:b/>
        </w:rPr>
        <w:t>W zakresie części I:</w:t>
      </w:r>
      <w:r w:rsidR="00B42C52" w:rsidRPr="00D36F6C">
        <w:rPr>
          <w:rFonts w:ascii="Arial" w:hAnsi="Arial" w:cs="Arial"/>
          <w:b/>
        </w:rPr>
        <w:t xml:space="preserve"> 100 000pln</w:t>
      </w:r>
    </w:p>
    <w:p w14:paraId="4F24B08A" w14:textId="7F4D70D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w:t>
      </w:r>
      <w:r w:rsidR="00B42C52" w:rsidRPr="00D36F6C">
        <w:rPr>
          <w:rFonts w:ascii="Arial" w:hAnsi="Arial" w:cs="Arial"/>
          <w:b/>
        </w:rPr>
        <w:t xml:space="preserve"> 50 000pln</w:t>
      </w:r>
    </w:p>
    <w:p w14:paraId="4D9578A5" w14:textId="621ED0D8"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III:</w:t>
      </w:r>
      <w:r w:rsidR="00A40212" w:rsidRPr="00D36F6C">
        <w:rPr>
          <w:rFonts w:ascii="Arial" w:hAnsi="Arial" w:cs="Arial"/>
          <w:b/>
        </w:rPr>
        <w:t xml:space="preserve"> </w:t>
      </w:r>
      <w:r w:rsidR="00EB0EB4" w:rsidRPr="00D36F6C">
        <w:rPr>
          <w:rFonts w:ascii="Arial" w:hAnsi="Arial" w:cs="Arial"/>
          <w:b/>
        </w:rPr>
        <w:t>3</w:t>
      </w:r>
      <w:r w:rsidR="00A40212" w:rsidRPr="00D36F6C">
        <w:rPr>
          <w:rFonts w:ascii="Arial" w:hAnsi="Arial" w:cs="Arial"/>
          <w:b/>
        </w:rPr>
        <w:t>0 000pln</w:t>
      </w:r>
    </w:p>
    <w:p w14:paraId="7A423BF6" w14:textId="4D9E038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IV:</w:t>
      </w:r>
      <w:r w:rsidR="00A40212" w:rsidRPr="00D36F6C">
        <w:rPr>
          <w:rFonts w:ascii="Arial" w:hAnsi="Arial" w:cs="Arial"/>
          <w:b/>
        </w:rPr>
        <w:t xml:space="preserve"> 50 000pln</w:t>
      </w:r>
    </w:p>
    <w:p w14:paraId="213A1077" w14:textId="3F6DA196" w:rsidR="00CF688E" w:rsidRPr="00D36F6C" w:rsidRDefault="00CF688E" w:rsidP="00CF688E">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6C7A06" w:rsidRDefault="00C3330B" w:rsidP="00FF735C">
      <w:pPr>
        <w:numPr>
          <w:ilvl w:val="1"/>
          <w:numId w:val="21"/>
        </w:numPr>
        <w:spacing w:after="0" w:line="276" w:lineRule="auto"/>
        <w:ind w:left="1134" w:hanging="283"/>
        <w:rPr>
          <w:rFonts w:ascii="Arial" w:hAnsi="Arial" w:cs="Arial"/>
        </w:rPr>
      </w:pPr>
      <w:proofErr w:type="gramStart"/>
      <w:r w:rsidRPr="006C7A06">
        <w:rPr>
          <w:rFonts w:ascii="Arial" w:hAnsi="Arial" w:cs="Arial"/>
          <w:b/>
          <w:color w:val="FF0000"/>
        </w:rPr>
        <w:t>warunek</w:t>
      </w:r>
      <w:proofErr w:type="gramEnd"/>
      <w:r w:rsidRPr="006C7A06">
        <w:rPr>
          <w:rFonts w:ascii="Arial" w:hAnsi="Arial" w:cs="Arial"/>
          <w:b/>
          <w:color w:val="FF0000"/>
        </w:rPr>
        <w:t xml:space="preserve"> dotyczący zdolności technicznej lub zawodowej w zakresie doświadczenia</w:t>
      </w:r>
      <w:r w:rsidRPr="006C7A06">
        <w:rPr>
          <w:rFonts w:ascii="Arial" w:hAnsi="Arial" w:cs="Arial"/>
          <w:color w:val="FF0000"/>
        </w:rPr>
        <w:t xml:space="preserve"> zostanie spełniony, jeżeli </w:t>
      </w:r>
      <w:r w:rsidR="006C7A06" w:rsidRPr="006C7A06">
        <w:rPr>
          <w:rFonts w:ascii="Arial" w:hAnsi="Arial" w:cs="Arial"/>
          <w:color w:val="FF0000"/>
        </w:rPr>
        <w:t>chociaż jeden z Wykonawców lub podmiotów udostępniających zasoby spełnia warunek samodzielnie (</w:t>
      </w:r>
      <w:r w:rsidR="00734985">
        <w:rPr>
          <w:rFonts w:ascii="Arial" w:hAnsi="Arial" w:cs="Arial"/>
          <w:color w:val="FF0000"/>
        </w:rPr>
        <w:t xml:space="preserve">nie jest </w:t>
      </w:r>
      <w:r w:rsidR="006C7A06" w:rsidRPr="006C7A06">
        <w:rPr>
          <w:rFonts w:ascii="Arial" w:hAnsi="Arial" w:cs="Arial"/>
          <w:color w:val="FF0000"/>
        </w:rPr>
        <w:t>możliwe sumowanie</w:t>
      </w:r>
      <w:r w:rsidRPr="006C7A06">
        <w:rPr>
          <w:rFonts w:ascii="Arial" w:hAnsi="Arial" w:cs="Arial"/>
          <w:color w:val="FF0000"/>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w:t>
      </w:r>
      <w:proofErr w:type="spellStart"/>
      <w:r w:rsidR="00AB366F">
        <w:rPr>
          <w:rFonts w:ascii="Arial" w:hAnsi="Arial" w:cs="Arial"/>
        </w:rPr>
        <w:t>Pzp</w:t>
      </w:r>
      <w:proofErr w:type="spellEnd"/>
      <w:r w:rsidRPr="00EC2D9B">
        <w:rPr>
          <w:rFonts w:ascii="Arial" w:hAnsi="Arial" w:cs="Arial"/>
        </w:rPr>
        <w:t xml:space="preserve">, o braku przynależności do tej samej grupy kapitałowej, w rozumieniu ustawy z dnia 16.02.2007 </w:t>
      </w:r>
      <w:proofErr w:type="gramStart"/>
      <w:r w:rsidRPr="00EC2D9B">
        <w:rPr>
          <w:rFonts w:ascii="Arial" w:hAnsi="Arial" w:cs="Arial"/>
        </w:rPr>
        <w:t>r</w:t>
      </w:r>
      <w:proofErr w:type="gramEnd"/>
      <w:r w:rsidRPr="00EC2D9B">
        <w:rPr>
          <w:rFonts w:ascii="Arial" w:hAnsi="Arial" w:cs="Arial"/>
        </w:rPr>
        <w:t xml:space="preserve">. o ochronie konkurencji i konsumentów (Dz. U. </w:t>
      </w:r>
      <w:proofErr w:type="gramStart"/>
      <w:r w:rsidRPr="00EC2D9B">
        <w:rPr>
          <w:rFonts w:ascii="Arial" w:hAnsi="Arial" w:cs="Arial"/>
        </w:rPr>
        <w:t>z</w:t>
      </w:r>
      <w:proofErr w:type="gramEnd"/>
      <w:r w:rsidRPr="00EC2D9B">
        <w:rPr>
          <w:rFonts w:ascii="Arial" w:hAnsi="Arial" w:cs="Arial"/>
        </w:rPr>
        <w:t xml:space="preserve">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050F3ACB"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proofErr w:type="gramStart"/>
      <w:r w:rsidRPr="00EC2D9B">
        <w:rPr>
          <w:rFonts w:ascii="Arial" w:hAnsi="Arial" w:cs="Arial"/>
        </w:rPr>
        <w:t>o</w:t>
      </w:r>
      <w:proofErr w:type="gramEnd"/>
      <w:r w:rsidRPr="00EC2D9B">
        <w:rPr>
          <w:rFonts w:ascii="Arial" w:hAnsi="Arial" w:cs="Arial"/>
        </w:rPr>
        <w:t xml:space="preserve">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122B9834"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E93E4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5AD5833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E47A7">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414271">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C2FB996"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5E4A8A">
        <w:rPr>
          <w:rFonts w:ascii="Arial" w:hAnsi="Arial" w:cs="Arial"/>
          <w:b/>
          <w:sz w:val="28"/>
          <w:szCs w:val="28"/>
        </w:rPr>
        <w:t xml:space="preserve">do dnia </w:t>
      </w:r>
      <w:r w:rsidR="005E4A8A" w:rsidRPr="005E4A8A">
        <w:rPr>
          <w:rFonts w:ascii="Arial" w:hAnsi="Arial" w:cs="Arial"/>
          <w:b/>
          <w:sz w:val="28"/>
          <w:szCs w:val="28"/>
        </w:rPr>
        <w:t xml:space="preserve">23.06.2021 </w:t>
      </w:r>
      <w:proofErr w:type="gramStart"/>
      <w:r w:rsidR="005E4A8A" w:rsidRPr="005E4A8A">
        <w:rPr>
          <w:rFonts w:ascii="Arial" w:hAnsi="Arial" w:cs="Arial"/>
          <w:b/>
          <w:sz w:val="28"/>
          <w:szCs w:val="28"/>
        </w:rPr>
        <w:t>do</w:t>
      </w:r>
      <w:proofErr w:type="gramEnd"/>
      <w:r w:rsidR="005E4A8A" w:rsidRPr="005E4A8A">
        <w:rPr>
          <w:rFonts w:ascii="Arial" w:hAnsi="Arial" w:cs="Arial"/>
          <w:b/>
          <w:sz w:val="28"/>
          <w:szCs w:val="28"/>
        </w:rPr>
        <w:t xml:space="preserve">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08D4B0F" w14:textId="6FCE80DB" w:rsidR="006E07A5" w:rsidRPr="006E07A5" w:rsidRDefault="001B0ADF" w:rsidP="006E07A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6E07A5">
        <w:rPr>
          <w:rFonts w:ascii="Arial" w:hAnsi="Arial" w:cs="Arial"/>
          <w:b/>
          <w:sz w:val="22"/>
          <w:szCs w:val="22"/>
        </w:rPr>
        <w:t xml:space="preserve"> wraz z </w:t>
      </w:r>
      <w:r w:rsidR="006E07A5" w:rsidRPr="006E07A5">
        <w:rPr>
          <w:rFonts w:ascii="Arial" w:hAnsi="Arial" w:cs="Arial"/>
          <w:b/>
          <w:sz w:val="22"/>
          <w:szCs w:val="22"/>
        </w:rPr>
        <w:t>wypełnionym/i zestawieniami stolarki okiennej</w:t>
      </w:r>
      <w:r w:rsidR="006E07A5" w:rsidRPr="006E07A5">
        <w:rPr>
          <w:rFonts w:ascii="Arial" w:hAnsi="Arial" w:cs="Arial"/>
          <w:sz w:val="22"/>
          <w:szCs w:val="22"/>
        </w:rPr>
        <w:t xml:space="preserve">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504AFA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E47A7">
        <w:rPr>
          <w:rFonts w:ascii="Arial" w:hAnsi="Arial" w:cs="Arial"/>
          <w:b/>
          <w:sz w:val="22"/>
          <w:szCs w:val="22"/>
        </w:rPr>
        <w:t>5</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61DD2F40"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E47A7">
        <w:rPr>
          <w:rFonts w:ascii="Arial" w:hAnsi="Arial" w:cs="Arial"/>
          <w:b/>
          <w:sz w:val="22"/>
          <w:szCs w:val="22"/>
        </w:rPr>
        <w:t>6</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79729C08"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5E4A8A" w:rsidRPr="005E4A8A">
        <w:rPr>
          <w:rFonts w:ascii="Arial" w:hAnsi="Arial" w:cs="Arial"/>
          <w:b/>
          <w:sz w:val="28"/>
          <w:szCs w:val="28"/>
        </w:rPr>
        <w:t xml:space="preserve">23.06.2021 </w:t>
      </w:r>
      <w:proofErr w:type="gramStart"/>
      <w:r w:rsidR="005E4A8A" w:rsidRPr="005E4A8A">
        <w:rPr>
          <w:rFonts w:ascii="Arial" w:hAnsi="Arial" w:cs="Arial"/>
          <w:b/>
          <w:sz w:val="28"/>
          <w:szCs w:val="28"/>
        </w:rPr>
        <w:t>do</w:t>
      </w:r>
      <w:proofErr w:type="gramEnd"/>
      <w:r w:rsidR="005E4A8A" w:rsidRPr="005E4A8A">
        <w:rPr>
          <w:rFonts w:ascii="Arial" w:hAnsi="Arial" w:cs="Arial"/>
          <w:b/>
          <w:sz w:val="28"/>
          <w:szCs w:val="28"/>
        </w:rPr>
        <w:t xml:space="preserve"> godz. 09.</w:t>
      </w:r>
      <w:r w:rsidR="005E4A8A">
        <w:rPr>
          <w:rFonts w:ascii="Arial" w:hAnsi="Arial" w:cs="Arial"/>
          <w:b/>
          <w:sz w:val="28"/>
          <w:szCs w:val="28"/>
        </w:rPr>
        <w:t>05</w:t>
      </w:r>
      <w:r w:rsidRPr="00C3330B">
        <w:rPr>
          <w:rFonts w:ascii="Arial" w:hAnsi="Arial" w:cs="Arial"/>
        </w:rPr>
        <w:t xml:space="preserve"> 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23BEE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1406F9">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2F22BB09"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405C9FF9"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00723BC0">
        <w:rPr>
          <w:rFonts w:ascii="Arial" w:hAnsi="Arial" w:cs="Arial"/>
          <w:b/>
          <w:sz w:val="22"/>
          <w:szCs w:val="22"/>
        </w:rPr>
        <w:t xml:space="preserve">, </w:t>
      </w:r>
      <w:r w:rsidR="00723BC0" w:rsidRPr="001406F9">
        <w:rPr>
          <w:rFonts w:ascii="Arial" w:hAnsi="Arial" w:cs="Arial"/>
          <w:sz w:val="22"/>
          <w:szCs w:val="22"/>
        </w:rPr>
        <w:t>oraz</w:t>
      </w:r>
      <w:r w:rsidRPr="001406F9">
        <w:rPr>
          <w:rFonts w:ascii="Arial" w:hAnsi="Arial" w:cs="Arial"/>
          <w:sz w:val="22"/>
          <w:szCs w:val="22"/>
        </w:rPr>
        <w:t>.</w:t>
      </w:r>
    </w:p>
    <w:p w14:paraId="5BE703A4" w14:textId="77777777"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5CADE720"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723BC0" w:rsidRPr="00286E21">
        <w:rPr>
          <w:rFonts w:ascii="Arial" w:hAnsi="Arial" w:cs="Arial"/>
          <w:b/>
        </w:rPr>
        <w:t xml:space="preserve">Wymiana stolarki okiennej </w:t>
      </w:r>
      <w:r w:rsidR="006731DE" w:rsidRPr="00286E21">
        <w:rPr>
          <w:rFonts w:ascii="Arial" w:hAnsi="Arial" w:cs="Arial"/>
          <w:b/>
        </w:rPr>
        <w:t xml:space="preserve">drewnianej na PCV </w:t>
      </w:r>
      <w:r w:rsidR="00F15853" w:rsidRPr="00286E21">
        <w:rPr>
          <w:rFonts w:ascii="Arial" w:hAnsi="Arial" w:cs="Arial"/>
          <w:b/>
        </w:rPr>
        <w:t>w</w:t>
      </w:r>
      <w:r w:rsidR="00723BC0" w:rsidRPr="00286E21">
        <w:rPr>
          <w:rFonts w:ascii="Arial" w:hAnsi="Arial" w:cs="Arial"/>
          <w:b/>
        </w:rPr>
        <w:t xml:space="preserve"> zasobach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723BC0" w:rsidRPr="00286E21">
        <w:rPr>
          <w:rFonts w:ascii="Arial" w:hAnsi="Arial" w:cs="Arial"/>
          <w:b/>
        </w:rPr>
        <w:t>7</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373A5A4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533EE4A1"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D5DF7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5DEB809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EB049CA"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C0BA1AD"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54634C7"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11638259"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318C51D2"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F2BB5AF"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6A1C1337"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21A1D04"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D7FB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EE55BB1"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FFB876A"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F86DFD8" w14:textId="77777777" w:rsidR="00286E21" w:rsidRDefault="00286E21" w:rsidP="0027602A">
      <w:pPr>
        <w:widowControl w:val="0"/>
        <w:autoSpaceDE w:val="0"/>
        <w:autoSpaceDN w:val="0"/>
        <w:adjustRightInd w:val="0"/>
        <w:spacing w:after="0" w:line="276" w:lineRule="auto"/>
        <w:ind w:firstLine="342"/>
        <w:jc w:val="right"/>
        <w:rPr>
          <w:rFonts w:ascii="Tahoma" w:hAnsi="Tahoma" w:cs="Tahoma"/>
          <w:bCs/>
          <w:sz w:val="21"/>
          <w:szCs w:val="21"/>
        </w:rPr>
      </w:pPr>
    </w:p>
    <w:p w14:paraId="7DF240E3"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51B04FC1"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73F092BA"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6F39CDD2"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1799F2FE"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080BBDF0"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4582547D"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33F01102"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1BC94C26"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147B2027"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528D438C"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1065215D"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12BD958D"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0E1EEE82"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53B0B21D"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3CADE7EA"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76A6CCA1" w14:textId="77777777" w:rsidR="00B47BA1" w:rsidRDefault="00B47BA1" w:rsidP="0027602A">
      <w:pPr>
        <w:widowControl w:val="0"/>
        <w:autoSpaceDE w:val="0"/>
        <w:autoSpaceDN w:val="0"/>
        <w:adjustRightInd w:val="0"/>
        <w:spacing w:after="0" w:line="276" w:lineRule="auto"/>
        <w:ind w:firstLine="342"/>
        <w:jc w:val="right"/>
        <w:rPr>
          <w:rFonts w:ascii="Tahoma" w:hAnsi="Tahoma" w:cs="Tahoma"/>
          <w:bCs/>
          <w:sz w:val="21"/>
          <w:szCs w:val="21"/>
        </w:rPr>
      </w:pPr>
    </w:p>
    <w:p w14:paraId="7AE5F6F4"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27BECF37" w14:textId="7276FA2B" w:rsidR="0097396A" w:rsidRPr="00AD2430" w:rsidRDefault="00723BC0" w:rsidP="0094526A">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Pr>
          <w:rFonts w:ascii="Arial" w:hAnsi="Arial" w:cs="Arial"/>
          <w:b/>
          <w:color w:val="FF0000"/>
          <w:sz w:val="32"/>
          <w:szCs w:val="32"/>
        </w:rPr>
        <w:t>w zasobach</w:t>
      </w:r>
      <w:r w:rsidR="001406F9" w:rsidRPr="00AD2430">
        <w:rPr>
          <w:rFonts w:ascii="Arial" w:hAnsi="Arial" w:cs="Arial"/>
          <w:b/>
          <w:color w:val="FF0000"/>
          <w:sz w:val="32"/>
          <w:szCs w:val="32"/>
        </w:rPr>
        <w:t xml:space="preserve"> </w:t>
      </w:r>
      <w:r w:rsidR="00AD2430" w:rsidRPr="00AD2430">
        <w:rPr>
          <w:rFonts w:ascii="Arial" w:hAnsi="Arial" w:cs="Arial"/>
          <w:b/>
          <w:color w:val="FF0000"/>
          <w:sz w:val="32"/>
          <w:szCs w:val="32"/>
        </w:rPr>
        <w:t>gminnych administrowanych przez ZGM</w:t>
      </w:r>
    </w:p>
    <w:p w14:paraId="5E203371" w14:textId="77777777" w:rsidR="0097396A"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3E381EFE"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A40212" w:rsidRPr="00A40212">
        <w:rPr>
          <w:rFonts w:cs="Arial"/>
          <w:iCs/>
          <w:sz w:val="20"/>
        </w:rPr>
        <w:t>3</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28A42720"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A40212" w:rsidRPr="00A40212">
        <w:rPr>
          <w:rFonts w:cs="Arial"/>
          <w:iCs/>
          <w:sz w:val="20"/>
        </w:rPr>
        <w:t>do 4</w:t>
      </w:r>
      <w:r w:rsidRPr="00A40212">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1D7FF25E"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C375FC" w:rsidRDefault="00870980" w:rsidP="00870980">
      <w:pPr>
        <w:pStyle w:val="Tekstpodstawowy"/>
        <w:rPr>
          <w:rFonts w:cs="Arial"/>
          <w:sz w:val="18"/>
          <w:szCs w:val="18"/>
        </w:rPr>
      </w:pPr>
    </w:p>
    <w:p w14:paraId="708C2391" w14:textId="77777777" w:rsidR="00870980" w:rsidRPr="00C375FC" w:rsidRDefault="00870980" w:rsidP="0087098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4B3D6511" w14:textId="77777777" w:rsidR="00870980" w:rsidRPr="00C375FC" w:rsidRDefault="00870980" w:rsidP="00870980">
      <w:pPr>
        <w:pStyle w:val="Tekstpodstawowy"/>
        <w:ind w:left="720"/>
        <w:rPr>
          <w:rFonts w:cs="Arial"/>
          <w:b/>
          <w:sz w:val="18"/>
          <w:szCs w:val="18"/>
        </w:rPr>
      </w:pPr>
      <w:r w:rsidRPr="00C375FC">
        <w:rPr>
          <w:rFonts w:cs="Arial"/>
          <w:sz w:val="20"/>
        </w:rPr>
        <w:t xml:space="preserve">  </w:t>
      </w:r>
    </w:p>
    <w:p w14:paraId="0D5B0C87" w14:textId="7DF7F88E" w:rsidR="00870980" w:rsidRPr="00EB0EB4" w:rsidRDefault="00870980" w:rsidP="00870980">
      <w:pPr>
        <w:pStyle w:val="Tekstpodstawowy"/>
        <w:rPr>
          <w:rFonts w:cs="Arial"/>
          <w:iCs/>
          <w:sz w:val="20"/>
        </w:rPr>
      </w:pPr>
      <w:r w:rsidRPr="00EB0EB4">
        <w:rPr>
          <w:rFonts w:cs="Arial"/>
          <w:b/>
          <w:iCs/>
          <w:sz w:val="20"/>
        </w:rPr>
        <w:t xml:space="preserve">ZOBOWIĄZUJEMY SIĘ </w:t>
      </w:r>
      <w:r w:rsidRPr="00EB0EB4">
        <w:rPr>
          <w:rFonts w:cs="Arial"/>
          <w:iCs/>
          <w:sz w:val="20"/>
        </w:rPr>
        <w:t xml:space="preserve">wykonać przedmiot zamówienia w terminie określonym w </w:t>
      </w:r>
      <w:proofErr w:type="spellStart"/>
      <w:r w:rsidRPr="00EB0EB4">
        <w:rPr>
          <w:rFonts w:cs="Arial"/>
          <w:iCs/>
          <w:sz w:val="20"/>
        </w:rPr>
        <w:t>swz</w:t>
      </w:r>
      <w:proofErr w:type="spellEnd"/>
      <w:r w:rsidRPr="00EB0EB4">
        <w:rPr>
          <w:rFonts w:cs="Arial"/>
          <w:iCs/>
          <w:sz w:val="20"/>
        </w:rPr>
        <w:t xml:space="preserve">, tj. </w:t>
      </w:r>
      <w:r w:rsidR="00EB0EB4" w:rsidRPr="00EB0EB4">
        <w:rPr>
          <w:rFonts w:cs="Arial"/>
          <w:iCs/>
          <w:sz w:val="20"/>
        </w:rPr>
        <w:t xml:space="preserve">do 4 miesięcy </w:t>
      </w:r>
      <w:r w:rsidRPr="00EB0EB4">
        <w:rPr>
          <w:rFonts w:cs="Arial"/>
          <w:iCs/>
          <w:sz w:val="20"/>
        </w:rPr>
        <w:t>od podpisania umowy</w:t>
      </w:r>
    </w:p>
    <w:p w14:paraId="36C3A905" w14:textId="77777777" w:rsidR="00870980" w:rsidRDefault="00870980"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60C45FB3"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45D7BE37"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A40212" w:rsidRPr="00A40212">
        <w:rPr>
          <w:rFonts w:cs="Arial"/>
          <w:iCs/>
          <w:sz w:val="20"/>
        </w:rPr>
        <w:t>3</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016793EE"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005971AE" w:rsidRPr="004D77B9">
        <w:rPr>
          <w:rFonts w:ascii="Arial" w:eastAsia="Times New Roman" w:hAnsi="Arial" w:cs="Arial"/>
          <w:b/>
          <w:bCs/>
        </w:rPr>
        <w:t xml:space="preserve"> </w:t>
      </w:r>
      <w:r w:rsidR="005971AE">
        <w:rPr>
          <w:rFonts w:ascii="Arial" w:eastAsia="Times New Roman" w:hAnsi="Arial" w:cs="Arial"/>
          <w:bCs/>
        </w:rPr>
        <w:t xml:space="preserve">mikroprzedsiębiorstwem* / małym* / </w:t>
      </w:r>
      <w:r w:rsidR="005971AE" w:rsidRPr="004D77B9">
        <w:rPr>
          <w:rFonts w:ascii="Arial" w:eastAsia="Times New Roman" w:hAnsi="Arial" w:cs="Arial"/>
          <w:bCs/>
        </w:rPr>
        <w:t>średnim przedsiębiorstwem</w:t>
      </w:r>
      <w:r w:rsidR="005971AE">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0D6FB528"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329A285A" w14:textId="0EDE9CB0" w:rsidR="0097396A" w:rsidRDefault="00723BC0" w:rsidP="00D851A1">
      <w:pPr>
        <w:widowControl w:val="0"/>
        <w:autoSpaceDE w:val="0"/>
        <w:autoSpaceDN w:val="0"/>
        <w:adjustRightInd w:val="0"/>
        <w:spacing w:after="0" w:line="240" w:lineRule="auto"/>
        <w:jc w:val="center"/>
        <w:rPr>
          <w:rFonts w:ascii="Arial" w:hAnsi="Arial" w:cs="Arial"/>
          <w:b/>
          <w:color w:val="FF0000"/>
          <w:sz w:val="32"/>
          <w:szCs w:val="32"/>
        </w:rPr>
      </w:pPr>
      <w:r w:rsidRPr="00723BC0">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sidRPr="00723BC0">
        <w:rPr>
          <w:rFonts w:ascii="Arial" w:hAnsi="Arial" w:cs="Arial"/>
          <w:b/>
          <w:color w:val="FF0000"/>
          <w:sz w:val="32"/>
          <w:szCs w:val="32"/>
        </w:rPr>
        <w:t>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78052768" w14:textId="77777777" w:rsidR="00B47BA1" w:rsidRDefault="00B47BA1"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Pr>
          <w:rFonts w:ascii="Verdana" w:hAnsi="Verdana" w:cs="Tahoma"/>
          <w:b/>
          <w:sz w:val="18"/>
          <w:szCs w:val="18"/>
        </w:rPr>
        <w:t xml:space="preserve"> pn.:</w:t>
      </w:r>
    </w:p>
    <w:p w14:paraId="30F175AC" w14:textId="77777777" w:rsidR="00AD2430" w:rsidRDefault="00AD2430" w:rsidP="00AD2430">
      <w:pPr>
        <w:widowControl w:val="0"/>
        <w:tabs>
          <w:tab w:val="right" w:pos="9069"/>
        </w:tabs>
        <w:autoSpaceDE w:val="0"/>
        <w:autoSpaceDN w:val="0"/>
        <w:adjustRightInd w:val="0"/>
        <w:spacing w:after="0" w:line="240" w:lineRule="auto"/>
        <w:jc w:val="center"/>
        <w:rPr>
          <w:rFonts w:ascii="Arial" w:hAnsi="Arial" w:cs="Arial"/>
          <w:b/>
          <w:color w:val="FF0000"/>
          <w:sz w:val="32"/>
          <w:szCs w:val="32"/>
        </w:rPr>
      </w:pPr>
    </w:p>
    <w:p w14:paraId="5651F786" w14:textId="2FE624C1" w:rsidR="00723BC0" w:rsidRPr="00AD2430"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Pr>
          <w:rFonts w:ascii="Arial" w:hAnsi="Arial" w:cs="Arial"/>
          <w:b/>
          <w:color w:val="FF0000"/>
          <w:sz w:val="32"/>
          <w:szCs w:val="32"/>
        </w:rPr>
        <w:t>w zasobach</w:t>
      </w:r>
      <w:r w:rsidRPr="00AD2430">
        <w:rPr>
          <w:rFonts w:ascii="Arial" w:hAnsi="Arial" w:cs="Arial"/>
          <w:b/>
          <w:color w:val="FF0000"/>
          <w:sz w:val="32"/>
          <w:szCs w:val="32"/>
        </w:rPr>
        <w:t xml:space="preserve"> gminnych administrowanych przez ZGM</w:t>
      </w:r>
    </w:p>
    <w:p w14:paraId="38DA8646" w14:textId="77777777" w:rsidR="00C27809" w:rsidRPr="00C375FC" w:rsidRDefault="00C27809" w:rsidP="00C27809">
      <w:pPr>
        <w:adjustRightInd w:val="0"/>
        <w:rPr>
          <w:rFonts w:eastAsia="Times New Roman"/>
          <w:i/>
          <w:sz w:val="20"/>
          <w:szCs w:val="20"/>
        </w:rPr>
      </w:pP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w:t>
      </w:r>
      <w:proofErr w:type="spellStart"/>
      <w:r w:rsidRPr="00C375FC">
        <w:rPr>
          <w:rFonts w:eastAsia="Times New Roman"/>
          <w:b/>
          <w:bCs/>
          <w:iCs/>
          <w:sz w:val="20"/>
          <w:szCs w:val="20"/>
        </w:rPr>
        <w:t>Pzp</w:t>
      </w:r>
      <w:proofErr w:type="spellEnd"/>
      <w:r w:rsidRPr="00C375FC">
        <w:rPr>
          <w:rFonts w:eastAsia="Times New Roman"/>
          <w:b/>
          <w:bCs/>
          <w:iCs/>
          <w:sz w:val="20"/>
          <w:szCs w:val="20"/>
        </w:rPr>
        <w:t>,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 xml:space="preserve">ustawy </w:t>
      </w:r>
      <w:proofErr w:type="spellStart"/>
      <w:r w:rsidRPr="00C375FC">
        <w:rPr>
          <w:rFonts w:eastAsia="Times New Roman"/>
          <w:b/>
          <w:bCs/>
          <w:iCs/>
          <w:sz w:val="20"/>
          <w:szCs w:val="20"/>
        </w:rPr>
        <w:t>Pzp</w:t>
      </w:r>
      <w:proofErr w:type="spellEnd"/>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6AF9F414" w14:textId="77777777" w:rsidR="00C27809" w:rsidRPr="00C375FC" w:rsidRDefault="00C27809" w:rsidP="00C27809">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p>
    <w:p w14:paraId="12159BFA" w14:textId="77777777" w:rsidR="001952B0" w:rsidRDefault="001952B0" w:rsidP="00E44A32">
      <w:pPr>
        <w:widowControl w:val="0"/>
        <w:autoSpaceDE w:val="0"/>
        <w:autoSpaceDN w:val="0"/>
        <w:adjustRightInd w:val="0"/>
        <w:spacing w:after="0" w:line="240" w:lineRule="auto"/>
        <w:ind w:left="1080"/>
        <w:rPr>
          <w:rFonts w:ascii="Verdana" w:hAnsi="Verdana" w:cs="Verdana"/>
          <w:color w:val="FF0000"/>
          <w:sz w:val="18"/>
          <w:szCs w:val="18"/>
        </w:rPr>
      </w:pPr>
    </w:p>
    <w:p w14:paraId="51AF1FD3" w14:textId="77777777" w:rsidR="009A5398" w:rsidRDefault="009A5398" w:rsidP="009A5398">
      <w:pPr>
        <w:suppressAutoHyphens/>
        <w:jc w:val="right"/>
        <w:rPr>
          <w:rFonts w:ascii="Verdana" w:hAnsi="Verdana" w:cs="Tahoma"/>
          <w:sz w:val="18"/>
          <w:szCs w:val="18"/>
        </w:rPr>
      </w:pPr>
      <w:r>
        <w:rPr>
          <w:rFonts w:ascii="Verdana" w:hAnsi="Verdana" w:cs="Tahoma"/>
          <w:sz w:val="18"/>
          <w:szCs w:val="18"/>
        </w:rPr>
        <w:t xml:space="preserve">  Załącznik nr 4</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6C1E451D" w14:textId="0CF65669" w:rsidR="00723BC0" w:rsidRPr="00AD2430" w:rsidRDefault="009A5398"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723BC0">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sidR="00723BC0">
        <w:rPr>
          <w:rFonts w:ascii="Arial" w:hAnsi="Arial" w:cs="Arial"/>
          <w:b/>
          <w:color w:val="FF0000"/>
          <w:sz w:val="32"/>
          <w:szCs w:val="32"/>
        </w:rPr>
        <w:t>w zasobach</w:t>
      </w:r>
      <w:r w:rsidR="00723BC0" w:rsidRPr="00AD2430">
        <w:rPr>
          <w:rFonts w:ascii="Arial" w:hAnsi="Arial" w:cs="Arial"/>
          <w:b/>
          <w:color w:val="FF0000"/>
          <w:sz w:val="32"/>
          <w:szCs w:val="32"/>
        </w:rPr>
        <w:t xml:space="preserve"> gminnych administrowanych przez ZGM</w:t>
      </w:r>
    </w:p>
    <w:p w14:paraId="4A95A36B" w14:textId="2191A972" w:rsidR="009A5398" w:rsidRPr="00C375FC" w:rsidRDefault="009A5398" w:rsidP="00723BC0">
      <w:pPr>
        <w:adjustRightInd w:val="0"/>
        <w:jc w:val="center"/>
        <w:rPr>
          <w:rFonts w:ascii="Arial" w:hAnsi="Arial" w:cs="Arial"/>
          <w:sz w:val="20"/>
          <w:szCs w:val="20"/>
        </w:rPr>
      </w:pPr>
    </w:p>
    <w:p w14:paraId="7AAD198A" w14:textId="77777777" w:rsidR="003D7813" w:rsidRDefault="003D7813" w:rsidP="003D7813">
      <w:pPr>
        <w:spacing w:after="60" w:line="260" w:lineRule="atLeast"/>
        <w:rPr>
          <w:rFonts w:ascii="Arial" w:hAnsi="Arial" w:cs="Arial"/>
        </w:rPr>
      </w:pPr>
      <w:r w:rsidRPr="003D7813">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3D7813">
        <w:rPr>
          <w:rFonts w:ascii="Arial" w:hAnsi="Arial" w:cs="Arial"/>
        </w:rPr>
        <w:t>zawierający co</w:t>
      </w:r>
      <w:proofErr w:type="gramEnd"/>
      <w:r w:rsidRPr="003D7813">
        <w:rPr>
          <w:rFonts w:ascii="Arial" w:hAnsi="Arial" w:cs="Arial"/>
        </w:rPr>
        <w:t xml:space="preserve"> najmniej</w:t>
      </w:r>
      <w:r>
        <w:rPr>
          <w:rFonts w:ascii="Arial" w:hAnsi="Arial" w:cs="Arial"/>
        </w:rPr>
        <w:t>:</w:t>
      </w:r>
    </w:p>
    <w:p w14:paraId="45CA5DE2" w14:textId="77777777" w:rsidR="00345A50" w:rsidRPr="00D36F6C" w:rsidRDefault="00345A50" w:rsidP="00345A50">
      <w:pPr>
        <w:spacing w:after="0" w:line="276" w:lineRule="auto"/>
        <w:rPr>
          <w:rFonts w:ascii="Arial" w:hAnsi="Arial" w:cs="Arial"/>
          <w:b/>
        </w:rPr>
      </w:pPr>
      <w:r w:rsidRPr="00D36F6C">
        <w:rPr>
          <w:rFonts w:ascii="Arial" w:hAnsi="Arial" w:cs="Arial"/>
          <w:b/>
        </w:rPr>
        <w:t>2 roboty budowlane polegające na dostawie i wymianie stolarki okiennej, lub dostawie i montażu stolarki okiennej o łącznej wartości min.:</w:t>
      </w:r>
    </w:p>
    <w:p w14:paraId="7F8076D2" w14:textId="77777777" w:rsidR="00345A50" w:rsidRPr="00D36F6C" w:rsidRDefault="00345A50" w:rsidP="00345A50">
      <w:pPr>
        <w:spacing w:after="0" w:line="276" w:lineRule="auto"/>
        <w:rPr>
          <w:rFonts w:ascii="Arial" w:hAnsi="Arial" w:cs="Arial"/>
          <w:b/>
        </w:rPr>
      </w:pPr>
      <w:r w:rsidRPr="00D36F6C">
        <w:rPr>
          <w:rFonts w:ascii="Arial" w:hAnsi="Arial" w:cs="Arial"/>
          <w:b/>
        </w:rPr>
        <w:t>W zakresie części I: 100 000pln</w:t>
      </w:r>
    </w:p>
    <w:p w14:paraId="7E5B60AE" w14:textId="77777777" w:rsidR="00345A50" w:rsidRPr="00D36F6C" w:rsidRDefault="00345A50" w:rsidP="00345A50">
      <w:pPr>
        <w:spacing w:after="0" w:line="276" w:lineRule="auto"/>
        <w:rPr>
          <w:rFonts w:ascii="Arial" w:hAnsi="Arial" w:cs="Arial"/>
          <w:b/>
        </w:rPr>
      </w:pPr>
      <w:r w:rsidRPr="00D36F6C">
        <w:rPr>
          <w:rFonts w:ascii="Arial" w:hAnsi="Arial" w:cs="Arial"/>
          <w:b/>
        </w:rPr>
        <w:t>W zakresie części II: 50 000pln</w:t>
      </w:r>
    </w:p>
    <w:p w14:paraId="1298DFEF" w14:textId="77777777" w:rsidR="00345A50" w:rsidRPr="00D36F6C" w:rsidRDefault="00345A50" w:rsidP="00345A50">
      <w:pPr>
        <w:spacing w:after="0" w:line="276" w:lineRule="auto"/>
        <w:rPr>
          <w:rFonts w:ascii="Arial" w:hAnsi="Arial" w:cs="Arial"/>
          <w:b/>
        </w:rPr>
      </w:pPr>
      <w:r w:rsidRPr="00D36F6C">
        <w:rPr>
          <w:rFonts w:ascii="Arial" w:hAnsi="Arial" w:cs="Arial"/>
          <w:b/>
        </w:rPr>
        <w:t>W zakresie części III: 30 000pln</w:t>
      </w:r>
    </w:p>
    <w:p w14:paraId="0DD39CE2" w14:textId="77777777" w:rsidR="00345A50" w:rsidRPr="00D36F6C" w:rsidRDefault="00345A50" w:rsidP="00345A50">
      <w:pPr>
        <w:spacing w:after="0" w:line="276" w:lineRule="auto"/>
        <w:rPr>
          <w:rFonts w:ascii="Arial" w:hAnsi="Arial" w:cs="Arial"/>
          <w:b/>
        </w:rPr>
      </w:pPr>
      <w:r w:rsidRPr="00D36F6C">
        <w:rPr>
          <w:rFonts w:ascii="Arial" w:hAnsi="Arial" w:cs="Arial"/>
          <w:b/>
        </w:rPr>
        <w:t>W zakresie części IV: 50 000pln</w:t>
      </w:r>
    </w:p>
    <w:p w14:paraId="0A364167" w14:textId="77777777" w:rsidR="00345A50" w:rsidRPr="00D36F6C" w:rsidRDefault="00345A50" w:rsidP="00345A50">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3D7813">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3BC822FF" w14:textId="63364EC9" w:rsidR="00723BC0" w:rsidRPr="00AD2430"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Pr>
          <w:rFonts w:ascii="Arial" w:hAnsi="Arial" w:cs="Arial"/>
          <w:b/>
          <w:color w:val="FF0000"/>
          <w:sz w:val="32"/>
          <w:szCs w:val="32"/>
        </w:rPr>
        <w:t>w zasobach</w:t>
      </w:r>
      <w:r w:rsidRPr="00AD2430">
        <w:rPr>
          <w:rFonts w:ascii="Arial" w:hAnsi="Arial" w:cs="Arial"/>
          <w:b/>
          <w:color w:val="FF0000"/>
          <w:sz w:val="32"/>
          <w:szCs w:val="32"/>
        </w:rPr>
        <w:t xml:space="preserve"> gminnych administrowanych przez ZGM</w:t>
      </w:r>
    </w:p>
    <w:p w14:paraId="168352D3" w14:textId="7777777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77777777" w:rsidR="000A0AC5" w:rsidRPr="00D91ADA" w:rsidRDefault="000A0AC5"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 xml:space="preserve">................................... </w:t>
      </w:r>
      <w:proofErr w:type="gramStart"/>
      <w:r w:rsidR="00727369" w:rsidRPr="00D91ADA">
        <w:rPr>
          <w:rFonts w:ascii="Arial" w:hAnsi="Arial" w:cs="Arial"/>
          <w:color w:val="000000"/>
          <w:sz w:val="16"/>
          <w:szCs w:val="16"/>
        </w:rPr>
        <w:t>dn</w:t>
      </w:r>
      <w:proofErr w:type="gramEnd"/>
      <w:r w:rsidR="00727369" w:rsidRPr="00D91ADA">
        <w:rPr>
          <w:rFonts w:ascii="Arial" w:hAnsi="Arial" w:cs="Arial"/>
          <w:color w:val="000000"/>
          <w:sz w:val="16"/>
          <w:szCs w:val="16"/>
        </w:rPr>
        <w:t xml:space="preserve">...................  </w:t>
      </w:r>
    </w:p>
    <w:p w14:paraId="561FB21A" w14:textId="77777777" w:rsidR="000A0AC5" w:rsidRPr="00D91ADA" w:rsidRDefault="00727369" w:rsidP="000A0AC5">
      <w:pPr>
        <w:pStyle w:val="Nagwek"/>
        <w:tabs>
          <w:tab w:val="clear" w:pos="4536"/>
          <w:tab w:val="left" w:pos="0"/>
        </w:tabs>
        <w:jc w:val="right"/>
        <w:rPr>
          <w:rFonts w:ascii="Arial" w:hAnsi="Arial" w:cs="Arial"/>
          <w:color w:val="000000"/>
          <w:sz w:val="16"/>
          <w:szCs w:val="16"/>
        </w:rPr>
      </w:pPr>
      <w:r w:rsidRPr="00D91ADA">
        <w:rPr>
          <w:rFonts w:ascii="Arial" w:hAnsi="Arial" w:cs="Arial"/>
          <w:color w:val="000000"/>
          <w:sz w:val="16"/>
          <w:szCs w:val="16"/>
        </w:rPr>
        <w:t>Miejscowość</w:t>
      </w:r>
      <w:r w:rsidR="000A0AC5" w:rsidRPr="00D91ADA">
        <w:rPr>
          <w:rFonts w:ascii="Arial" w:hAnsi="Arial" w:cs="Arial"/>
          <w:color w:val="000000"/>
          <w:sz w:val="16"/>
          <w:szCs w:val="16"/>
        </w:rPr>
        <w:t xml:space="preserve"> </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8A8F395" w14:textId="77777777" w:rsidR="005E4A8A" w:rsidRDefault="005E4A8A" w:rsidP="000A0AC5">
      <w:pPr>
        <w:suppressAutoHyphens/>
        <w:jc w:val="right"/>
        <w:rPr>
          <w:rFonts w:ascii="Verdana" w:hAnsi="Verdana" w:cs="Tahoma"/>
          <w:sz w:val="18"/>
          <w:szCs w:val="18"/>
        </w:rPr>
      </w:pPr>
    </w:p>
    <w:p w14:paraId="14956C21" w14:textId="77777777" w:rsidR="005E4A8A" w:rsidRDefault="005E4A8A" w:rsidP="000A0AC5">
      <w:pPr>
        <w:suppressAutoHyphens/>
        <w:jc w:val="right"/>
        <w:rPr>
          <w:rFonts w:ascii="Verdana" w:hAnsi="Verdana" w:cs="Tahoma"/>
          <w:sz w:val="18"/>
          <w:szCs w:val="18"/>
        </w:rPr>
      </w:pPr>
    </w:p>
    <w:p w14:paraId="4361EF07" w14:textId="77777777" w:rsidR="005E4A8A" w:rsidRDefault="005E4A8A" w:rsidP="000A0AC5">
      <w:pPr>
        <w:suppressAutoHyphens/>
        <w:jc w:val="right"/>
        <w:rPr>
          <w:rFonts w:ascii="Verdana" w:hAnsi="Verdana" w:cs="Tahoma"/>
          <w:sz w:val="18"/>
          <w:szCs w:val="18"/>
        </w:rPr>
      </w:pPr>
    </w:p>
    <w:p w14:paraId="795EF9DB" w14:textId="15DDF4C6"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proofErr w:type="gramStart"/>
      <w:r>
        <w:rPr>
          <w:rFonts w:ascii="Verdana" w:hAnsi="Verdana" w:cs="Tahoma"/>
          <w:b/>
          <w:sz w:val="18"/>
          <w:szCs w:val="18"/>
        </w:rPr>
        <w:t>składane</w:t>
      </w:r>
      <w:proofErr w:type="gramEnd"/>
      <w:r>
        <w:rPr>
          <w:rFonts w:ascii="Verdana" w:hAnsi="Verdana" w:cs="Tahoma"/>
          <w:b/>
          <w:sz w:val="18"/>
          <w:szCs w:val="18"/>
        </w:rPr>
        <w:t xml:space="preserv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07F35FEA" w14:textId="09C4C03E" w:rsidR="00723BC0" w:rsidRPr="00AD2430" w:rsidRDefault="00723BC0" w:rsidP="00723BC0">
      <w:pPr>
        <w:widowControl w:val="0"/>
        <w:tabs>
          <w:tab w:val="right" w:pos="9069"/>
        </w:tabs>
        <w:autoSpaceDE w:val="0"/>
        <w:autoSpaceDN w:val="0"/>
        <w:adjustRightInd w:val="0"/>
        <w:spacing w:after="0" w:line="240" w:lineRule="auto"/>
        <w:jc w:val="center"/>
        <w:rPr>
          <w:rFonts w:ascii="Tahoma" w:hAnsi="Tahoma" w:cs="Tahoma"/>
          <w:sz w:val="32"/>
          <w:szCs w:val="32"/>
        </w:rPr>
      </w:pPr>
      <w:r>
        <w:rPr>
          <w:rFonts w:ascii="Arial" w:hAnsi="Arial" w:cs="Arial"/>
          <w:b/>
          <w:color w:val="FF0000"/>
          <w:sz w:val="32"/>
          <w:szCs w:val="32"/>
        </w:rPr>
        <w:t xml:space="preserve">Wymiana stolarki okiennej </w:t>
      </w:r>
      <w:r w:rsidR="006731DE">
        <w:rPr>
          <w:rFonts w:ascii="Arial" w:hAnsi="Arial" w:cs="Arial"/>
          <w:b/>
          <w:color w:val="FF0000"/>
          <w:sz w:val="32"/>
          <w:szCs w:val="32"/>
        </w:rPr>
        <w:t xml:space="preserve">drewnianej na PCV </w:t>
      </w:r>
      <w:r>
        <w:rPr>
          <w:rFonts w:ascii="Arial" w:hAnsi="Arial" w:cs="Arial"/>
          <w:b/>
          <w:color w:val="FF0000"/>
          <w:sz w:val="32"/>
          <w:szCs w:val="32"/>
        </w:rPr>
        <w:t>w zasobach</w:t>
      </w:r>
      <w:r w:rsidRPr="00AD2430">
        <w:rPr>
          <w:rFonts w:ascii="Arial" w:hAnsi="Arial" w:cs="Arial"/>
          <w:b/>
          <w:color w:val="FF0000"/>
          <w:sz w:val="32"/>
          <w:szCs w:val="32"/>
        </w:rPr>
        <w:t xml:space="preserve"> gminnych administrowanych przez ZGM</w:t>
      </w:r>
    </w:p>
    <w:p w14:paraId="5E3830B9" w14:textId="77777777" w:rsidR="00727369" w:rsidRDefault="00727369" w:rsidP="000A0AC5">
      <w:pPr>
        <w:rPr>
          <w:rFonts w:eastAsia="Times New Roman"/>
          <w:b/>
          <w:sz w:val="20"/>
          <w:szCs w:val="20"/>
        </w:rPr>
      </w:pPr>
    </w:p>
    <w:p w14:paraId="2CB20CA3" w14:textId="77777777" w:rsidR="000A0AC5" w:rsidRPr="00C375FC" w:rsidRDefault="000A0AC5" w:rsidP="000A0AC5">
      <w:pPr>
        <w:rPr>
          <w:rFonts w:eastAsia="Times New Roman"/>
          <w:b/>
          <w:sz w:val="20"/>
          <w:szCs w:val="20"/>
        </w:rPr>
      </w:pPr>
      <w:proofErr w:type="gramStart"/>
      <w:r>
        <w:rPr>
          <w:rFonts w:eastAsia="Times New Roman"/>
          <w:b/>
          <w:sz w:val="20"/>
          <w:szCs w:val="20"/>
        </w:rPr>
        <w:t>w</w:t>
      </w:r>
      <w:proofErr w:type="gramEnd"/>
      <w:r>
        <w:rPr>
          <w:rFonts w:eastAsia="Times New Roman"/>
          <w:b/>
          <w:sz w:val="20"/>
          <w:szCs w:val="20"/>
        </w:rPr>
        <w:t xml:space="preserve">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proofErr w:type="gramStart"/>
            <w:r w:rsidRPr="00C375FC">
              <w:rPr>
                <w:rFonts w:ascii="Arial" w:hAnsi="Arial" w:cs="Arial"/>
                <w:b/>
                <w:sz w:val="16"/>
                <w:szCs w:val="16"/>
              </w:rPr>
              <w:t>urządzenia</w:t>
            </w:r>
            <w:proofErr w:type="gramEnd"/>
            <w:r w:rsidRPr="00C375FC">
              <w:rPr>
                <w:rFonts w:ascii="Arial" w:hAnsi="Arial" w:cs="Arial"/>
                <w:b/>
                <w:sz w:val="16"/>
                <w:szCs w:val="16"/>
              </w:rPr>
              <w:t xml:space="preserve">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1F1BAC7F"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03B54C85" w14:textId="77777777" w:rsidR="005E4A8A" w:rsidRDefault="005E4A8A"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782C4695"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2C5199E9" w:rsidR="003D7813" w:rsidRPr="00BB63FF" w:rsidRDefault="003D7813" w:rsidP="003D7813">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345A50">
        <w:rPr>
          <w:rFonts w:ascii="Arial" w:hAnsi="Arial" w:cs="Arial"/>
          <w:b/>
          <w:bCs/>
        </w:rPr>
        <w:t>7</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006731DE">
        <w:rPr>
          <w:rFonts w:ascii="Arial" w:hAnsi="Arial" w:cs="Arial"/>
        </w:rPr>
        <w:t>r., poz. 2019 ze </w:t>
      </w:r>
      <w:r w:rsidRPr="005D01F2">
        <w:rPr>
          <w:rFonts w:ascii="Arial" w:hAnsi="Arial" w:cs="Arial"/>
        </w:rPr>
        <w:t>zm.).</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 xml:space="preserve">wpisać zgodnie z </w:t>
      </w:r>
      <w:proofErr w:type="spellStart"/>
      <w:r>
        <w:rPr>
          <w:rFonts w:ascii="Arial" w:hAnsi="Arial" w:cs="Arial"/>
          <w:b/>
          <w:color w:val="00B050"/>
        </w:rPr>
        <w:t>swz</w:t>
      </w:r>
      <w:proofErr w:type="spellEnd"/>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5D35034E"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B47BA1">
        <w:rPr>
          <w:rFonts w:ascii="Arial" w:hAnsi="Arial" w:cs="Arial"/>
        </w:rPr>
        <w:t>us</w:t>
      </w:r>
      <w:r w:rsidRPr="00BB63FF">
        <w:rPr>
          <w:rFonts w:ascii="Arial" w:hAnsi="Arial" w:cs="Arial"/>
        </w:rPr>
        <w:t xml:space="preserve">t.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CDF856B" w14:textId="77777777" w:rsidR="0051401E" w:rsidRDefault="0051401E" w:rsidP="003D7813">
      <w:pPr>
        <w:pStyle w:val="Akapitzlist1"/>
        <w:spacing w:line="276" w:lineRule="auto"/>
        <w:jc w:val="center"/>
        <w:rPr>
          <w:rFonts w:ascii="Arial" w:hAnsi="Arial" w:cs="Arial"/>
        </w:rPr>
      </w:pPr>
    </w:p>
    <w:p w14:paraId="760E2373" w14:textId="77777777" w:rsidR="0051401E" w:rsidRDefault="0051401E" w:rsidP="003D7813">
      <w:pPr>
        <w:pStyle w:val="Akapitzlist1"/>
        <w:spacing w:line="276" w:lineRule="auto"/>
        <w:jc w:val="center"/>
        <w:rPr>
          <w:rFonts w:ascii="Arial" w:hAnsi="Arial" w:cs="Arial"/>
        </w:rPr>
      </w:pPr>
    </w:p>
    <w:p w14:paraId="4E54F637"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7</w:t>
      </w: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2AC11DFB" w14:textId="77777777"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4DA7EA71" w14:textId="77777777" w:rsidR="003D7813" w:rsidRDefault="003D7813" w:rsidP="003D7813">
      <w:pPr>
        <w:pStyle w:val="Akapitzlist1"/>
        <w:spacing w:line="276" w:lineRule="auto"/>
        <w:jc w:val="both"/>
        <w:rPr>
          <w:rFonts w:ascii="Arial" w:hAnsi="Arial" w:cs="Arial"/>
        </w:rPr>
      </w:pP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Pr="00A276F3" w:rsidRDefault="003D7813" w:rsidP="003D7813">
      <w:pPr>
        <w:pStyle w:val="Akapitzlist1"/>
        <w:spacing w:line="276" w:lineRule="auto"/>
        <w:jc w:val="center"/>
        <w:rPr>
          <w:rFonts w:ascii="Arial" w:hAnsi="Arial" w:cs="Arial"/>
        </w:rPr>
      </w:pPr>
      <w:r w:rsidRPr="00A276F3">
        <w:rPr>
          <w:rFonts w:ascii="Arial" w:hAnsi="Arial" w:cs="Arial"/>
        </w:rPr>
        <w:t>§ 8</w:t>
      </w: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0CB49476" w14:textId="77777777" w:rsidR="00E1083C" w:rsidRPr="008446B7" w:rsidRDefault="00E1083C" w:rsidP="00E1083C">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06B02FA3"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0203F9B"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6034EA6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6911947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6279564C" w14:textId="77777777" w:rsidR="00E1083C" w:rsidRPr="008446B7" w:rsidRDefault="00E1083C" w:rsidP="00E1083C">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3F07CD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BF359F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1D03D1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0CC470B4"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724589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po zakończeniu świadczenia usług związanych z przetwarzaniem usuwa wszelkie dane osobowe oraz usuwa wszelkie ich istniejące kopie, </w:t>
      </w:r>
      <w:proofErr w:type="gramStart"/>
      <w:r w:rsidRPr="008446B7">
        <w:rPr>
          <w:rFonts w:ascii="Arial" w:hAnsi="Arial" w:cs="Arial"/>
          <w:color w:val="000000" w:themeColor="text1"/>
        </w:rPr>
        <w:t>chyba że</w:t>
      </w:r>
      <w:proofErr w:type="gramEnd"/>
      <w:r w:rsidRPr="008446B7">
        <w:rPr>
          <w:rFonts w:ascii="Arial" w:hAnsi="Arial" w:cs="Arial"/>
          <w:color w:val="000000" w:themeColor="text1"/>
        </w:rPr>
        <w:t xml:space="preserve"> prawo Unii lub prawo państwa członkowskiego nakazują przechowywanie danych osobowych.</w:t>
      </w:r>
    </w:p>
    <w:p w14:paraId="7867A9B0"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3BE5C969"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796CA060"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57517DE8"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C581102"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099170DE"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2BA3A0E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F61B1B6"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1EB787F"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Podwykonawca, o którym mowa powyżej winien spełniać te same gwarancje i </w:t>
      </w:r>
      <w:proofErr w:type="gramStart"/>
      <w:r w:rsidRPr="008446B7">
        <w:rPr>
          <w:rFonts w:ascii="Arial" w:hAnsi="Arial" w:cs="Arial"/>
          <w:color w:val="000000" w:themeColor="text1"/>
        </w:rPr>
        <w:t>obowiązki jakie</w:t>
      </w:r>
      <w:proofErr w:type="gramEnd"/>
      <w:r w:rsidRPr="008446B7">
        <w:rPr>
          <w:rFonts w:ascii="Arial" w:hAnsi="Arial" w:cs="Arial"/>
          <w:color w:val="000000" w:themeColor="text1"/>
        </w:rPr>
        <w:t xml:space="preserve"> zostały nałożone na Wykonawcę w niniejszym paragrafie.</w:t>
      </w:r>
    </w:p>
    <w:p w14:paraId="617A70C2"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144AD67"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32BD039D"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1840648C" w14:textId="77777777" w:rsidR="00E1083C" w:rsidRPr="008446B7" w:rsidRDefault="00E1083C" w:rsidP="00E1083C">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77777777"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947289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77777777" w:rsidR="003D7813" w:rsidRPr="00BB63FF" w:rsidRDefault="003D7813" w:rsidP="006A21A6">
      <w:pPr>
        <w:pStyle w:val="Akapitzlist1"/>
        <w:spacing w:line="276" w:lineRule="auto"/>
        <w:jc w:val="center"/>
        <w:rPr>
          <w:rFonts w:ascii="Arial" w:hAnsi="Arial" w:cs="Arial"/>
        </w:rPr>
      </w:pPr>
      <w:r>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 xml:space="preserve">gdy w trakcie realizacji zamówienia zastosowane zostaną </w:t>
      </w:r>
      <w:proofErr w:type="gramStart"/>
      <w:r w:rsidRPr="0051401E">
        <w:rPr>
          <w:rFonts w:ascii="Arial" w:hAnsi="Arial" w:cs="Arial"/>
        </w:rPr>
        <w:t>lepszej jakości</w:t>
      </w:r>
      <w:proofErr w:type="gramEnd"/>
      <w:r w:rsidRPr="0051401E">
        <w:rPr>
          <w:rFonts w:ascii="Arial" w:hAnsi="Arial" w:cs="Arial"/>
        </w:rPr>
        <w:t xml:space="preserve">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proofErr w:type="gramStart"/>
      <w:r w:rsidRPr="0051401E">
        <w:rPr>
          <w:rFonts w:ascii="Arial" w:hAnsi="Arial" w:cs="Arial"/>
          <w:bCs/>
          <w:color w:val="FF0000"/>
        </w:rPr>
        <w:t>zmiany</w:t>
      </w:r>
      <w:proofErr w:type="gramEnd"/>
      <w:r w:rsidRPr="0051401E">
        <w:rPr>
          <w:rFonts w:ascii="Arial" w:hAnsi="Arial" w:cs="Arial"/>
          <w:bCs/>
          <w:color w:val="FF0000"/>
        </w:rPr>
        <w:t xml:space="preserve">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proofErr w:type="gramStart"/>
      <w:r w:rsidRPr="0051401E">
        <w:rPr>
          <w:rFonts w:ascii="Arial" w:hAnsi="Arial" w:cs="Arial"/>
          <w:bCs/>
          <w:color w:val="FF0000"/>
        </w:rPr>
        <w:t>zmiany</w:t>
      </w:r>
      <w:proofErr w:type="gramEnd"/>
      <w:r w:rsidRPr="0051401E">
        <w:rPr>
          <w:rFonts w:ascii="Arial" w:hAnsi="Arial" w:cs="Arial"/>
          <w:bCs/>
          <w:color w:val="FF0000"/>
        </w:rPr>
        <w:t xml:space="preserve">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BB63FF" w:rsidRDefault="003D7813" w:rsidP="00C3121C">
      <w:pPr>
        <w:pStyle w:val="Akapitzlist1"/>
        <w:spacing w:line="276" w:lineRule="auto"/>
        <w:ind w:left="1418" w:hanging="284"/>
        <w:jc w:val="center"/>
        <w:rPr>
          <w:rFonts w:ascii="Arial" w:hAnsi="Arial" w:cs="Arial"/>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6D6001D8"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w:t>
      </w:r>
      <w:r w:rsidR="009650EC">
        <w:rPr>
          <w:rFonts w:ascii="Arial" w:hAnsi="Arial" w:cs="Arial"/>
        </w:rPr>
        <w:t xml:space="preserve"> r., poz. 2019 ze zm.)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724A" w14:textId="77777777" w:rsidR="00270282" w:rsidRDefault="00270282" w:rsidP="00D851A1">
      <w:pPr>
        <w:spacing w:after="0" w:line="240" w:lineRule="auto"/>
      </w:pPr>
      <w:r>
        <w:separator/>
      </w:r>
    </w:p>
  </w:endnote>
  <w:endnote w:type="continuationSeparator" w:id="0">
    <w:p w14:paraId="18F4FCD0" w14:textId="77777777" w:rsidR="00270282" w:rsidRDefault="00270282"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270282" w:rsidRDefault="00270282">
    <w:pPr>
      <w:pStyle w:val="Stopka"/>
      <w:jc w:val="right"/>
    </w:pPr>
    <w:r>
      <w:fldChar w:fldCharType="begin"/>
    </w:r>
    <w:r>
      <w:instrText>PAGE   \* MERGEFORMAT</w:instrText>
    </w:r>
    <w:r>
      <w:fldChar w:fldCharType="separate"/>
    </w:r>
    <w:r w:rsidR="00BB4411">
      <w:rPr>
        <w:noProof/>
      </w:rPr>
      <w:t>21</w:t>
    </w:r>
    <w:r>
      <w:fldChar w:fldCharType="end"/>
    </w:r>
  </w:p>
  <w:p w14:paraId="6F8094F6" w14:textId="77777777" w:rsidR="00270282" w:rsidRDefault="00270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8064" w14:textId="77777777" w:rsidR="00270282" w:rsidRDefault="00270282" w:rsidP="00D851A1">
      <w:pPr>
        <w:spacing w:after="0" w:line="240" w:lineRule="auto"/>
      </w:pPr>
      <w:r>
        <w:separator/>
      </w:r>
    </w:p>
  </w:footnote>
  <w:footnote w:type="continuationSeparator" w:id="0">
    <w:p w14:paraId="567EE2C5" w14:textId="77777777" w:rsidR="00270282" w:rsidRDefault="00270282" w:rsidP="00D851A1">
      <w:pPr>
        <w:spacing w:after="0" w:line="240" w:lineRule="auto"/>
      </w:pPr>
      <w:r>
        <w:continuationSeparator/>
      </w:r>
    </w:p>
  </w:footnote>
  <w:footnote w:id="1">
    <w:p w14:paraId="44527E61" w14:textId="77777777" w:rsidR="00270282" w:rsidRDefault="00270282"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2">
    <w:p w14:paraId="2BC7397D" w14:textId="77777777" w:rsidR="00270282" w:rsidRDefault="00270282">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3">
    <w:p w14:paraId="14F5399E" w14:textId="77777777" w:rsidR="00270282" w:rsidRDefault="00270282"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4">
    <w:p w14:paraId="1EB027A2" w14:textId="77777777" w:rsidR="00270282" w:rsidRDefault="00270282"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5">
    <w:p w14:paraId="5ECCBB80" w14:textId="77777777" w:rsidR="00270282" w:rsidRPr="004D77B9" w:rsidRDefault="00270282"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270282" w:rsidRPr="004D77B9" w:rsidRDefault="0027028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270282" w:rsidRPr="004D77B9" w:rsidRDefault="00270282"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270282" w:rsidRPr="004D77B9" w:rsidRDefault="00270282"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270282" w:rsidRDefault="002702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51D9C3B1" w:rsidR="00270282" w:rsidRDefault="0027028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/7</w:t>
    </w:r>
    <w:r>
      <w:rPr>
        <w:rFonts w:ascii="Arial" w:hAnsi="Arial" w:cs="Arial"/>
        <w:sz w:val="18"/>
        <w:szCs w:val="18"/>
      </w:rPr>
      <w:t>/2021</w:t>
    </w:r>
  </w:p>
  <w:p w14:paraId="46FD46B0" w14:textId="77777777" w:rsidR="00270282" w:rsidRDefault="002702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682AED2D" w:rsidR="00270282" w:rsidRDefault="00270282"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/7</w:t>
    </w:r>
    <w:r>
      <w:rPr>
        <w:rFonts w:ascii="Arial" w:hAnsi="Arial" w:cs="Arial"/>
        <w:sz w:val="18"/>
        <w:szCs w:val="18"/>
      </w:rPr>
      <w:t>/2021</w:t>
    </w:r>
  </w:p>
  <w:p w14:paraId="69141D4B" w14:textId="77777777" w:rsidR="00270282" w:rsidRDefault="002702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6"/>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8"/>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7"/>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5"/>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1A26"/>
    <w:rsid w:val="000F7218"/>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1D0B"/>
    <w:rsid w:val="00181F59"/>
    <w:rsid w:val="00183F6C"/>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786E"/>
    <w:rsid w:val="002606BB"/>
    <w:rsid w:val="00266975"/>
    <w:rsid w:val="00270282"/>
    <w:rsid w:val="00275DFC"/>
    <w:rsid w:val="0027602A"/>
    <w:rsid w:val="0027613A"/>
    <w:rsid w:val="00286E21"/>
    <w:rsid w:val="00287180"/>
    <w:rsid w:val="002912CA"/>
    <w:rsid w:val="00291C0A"/>
    <w:rsid w:val="00297436"/>
    <w:rsid w:val="002B050F"/>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72BF"/>
    <w:rsid w:val="003D05C6"/>
    <w:rsid w:val="003D351D"/>
    <w:rsid w:val="003D7813"/>
    <w:rsid w:val="003F1693"/>
    <w:rsid w:val="00404A5A"/>
    <w:rsid w:val="0041016A"/>
    <w:rsid w:val="00413F41"/>
    <w:rsid w:val="00414271"/>
    <w:rsid w:val="004163DC"/>
    <w:rsid w:val="00416B70"/>
    <w:rsid w:val="00417322"/>
    <w:rsid w:val="0042332F"/>
    <w:rsid w:val="00434008"/>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FD3"/>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94259"/>
    <w:rsid w:val="005971AE"/>
    <w:rsid w:val="005A08A9"/>
    <w:rsid w:val="005A2DDF"/>
    <w:rsid w:val="005A6C05"/>
    <w:rsid w:val="005A71D5"/>
    <w:rsid w:val="005B7E72"/>
    <w:rsid w:val="005C126C"/>
    <w:rsid w:val="005C2ADB"/>
    <w:rsid w:val="005D01F2"/>
    <w:rsid w:val="005E09C4"/>
    <w:rsid w:val="005E4A8A"/>
    <w:rsid w:val="005F4921"/>
    <w:rsid w:val="005F76DF"/>
    <w:rsid w:val="00610456"/>
    <w:rsid w:val="00623740"/>
    <w:rsid w:val="00627122"/>
    <w:rsid w:val="0063633C"/>
    <w:rsid w:val="00636ED5"/>
    <w:rsid w:val="00642615"/>
    <w:rsid w:val="00643DC3"/>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468D"/>
    <w:rsid w:val="006C1DCA"/>
    <w:rsid w:val="006C48AE"/>
    <w:rsid w:val="006C7A06"/>
    <w:rsid w:val="006D051B"/>
    <w:rsid w:val="006D0D39"/>
    <w:rsid w:val="006D1660"/>
    <w:rsid w:val="006E07A5"/>
    <w:rsid w:val="006E0BC1"/>
    <w:rsid w:val="006E26EE"/>
    <w:rsid w:val="006E48CC"/>
    <w:rsid w:val="006E6ED1"/>
    <w:rsid w:val="006F5C80"/>
    <w:rsid w:val="00705220"/>
    <w:rsid w:val="00706252"/>
    <w:rsid w:val="0072083F"/>
    <w:rsid w:val="00723BC0"/>
    <w:rsid w:val="00727369"/>
    <w:rsid w:val="0073435D"/>
    <w:rsid w:val="00734985"/>
    <w:rsid w:val="00737DE0"/>
    <w:rsid w:val="0074306D"/>
    <w:rsid w:val="007431B8"/>
    <w:rsid w:val="007526FA"/>
    <w:rsid w:val="00757C77"/>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32BF"/>
    <w:rsid w:val="00807F95"/>
    <w:rsid w:val="0081700A"/>
    <w:rsid w:val="00824CF2"/>
    <w:rsid w:val="008257AA"/>
    <w:rsid w:val="00825979"/>
    <w:rsid w:val="008319ED"/>
    <w:rsid w:val="0084657B"/>
    <w:rsid w:val="008465A7"/>
    <w:rsid w:val="008473DC"/>
    <w:rsid w:val="00857167"/>
    <w:rsid w:val="00870980"/>
    <w:rsid w:val="008716F8"/>
    <w:rsid w:val="00873F51"/>
    <w:rsid w:val="008845B5"/>
    <w:rsid w:val="00887CC2"/>
    <w:rsid w:val="008975DF"/>
    <w:rsid w:val="008B0A9F"/>
    <w:rsid w:val="008B0DF9"/>
    <w:rsid w:val="008B14CF"/>
    <w:rsid w:val="008C601C"/>
    <w:rsid w:val="008C7D37"/>
    <w:rsid w:val="008D1F80"/>
    <w:rsid w:val="008D4EC9"/>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7118B"/>
    <w:rsid w:val="00971D05"/>
    <w:rsid w:val="0097396A"/>
    <w:rsid w:val="009872AA"/>
    <w:rsid w:val="00991119"/>
    <w:rsid w:val="00991B76"/>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50979"/>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270A"/>
    <w:rsid w:val="00B1687E"/>
    <w:rsid w:val="00B16D4C"/>
    <w:rsid w:val="00B27577"/>
    <w:rsid w:val="00B30A31"/>
    <w:rsid w:val="00B30ADC"/>
    <w:rsid w:val="00B400B8"/>
    <w:rsid w:val="00B40C22"/>
    <w:rsid w:val="00B42C52"/>
    <w:rsid w:val="00B472F7"/>
    <w:rsid w:val="00B4735A"/>
    <w:rsid w:val="00B47BA1"/>
    <w:rsid w:val="00B51ED1"/>
    <w:rsid w:val="00B63AA7"/>
    <w:rsid w:val="00B7001A"/>
    <w:rsid w:val="00B70A24"/>
    <w:rsid w:val="00B76BA5"/>
    <w:rsid w:val="00B80368"/>
    <w:rsid w:val="00BA2601"/>
    <w:rsid w:val="00BA4928"/>
    <w:rsid w:val="00BA50F5"/>
    <w:rsid w:val="00BA7974"/>
    <w:rsid w:val="00BB36D4"/>
    <w:rsid w:val="00BB4411"/>
    <w:rsid w:val="00BB53A6"/>
    <w:rsid w:val="00BB55C7"/>
    <w:rsid w:val="00BB63FF"/>
    <w:rsid w:val="00BC15AF"/>
    <w:rsid w:val="00BC21E2"/>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26E0"/>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64025"/>
    <w:rsid w:val="00D6777D"/>
    <w:rsid w:val="00D75414"/>
    <w:rsid w:val="00D77760"/>
    <w:rsid w:val="00D851A1"/>
    <w:rsid w:val="00D87A1D"/>
    <w:rsid w:val="00D91ADA"/>
    <w:rsid w:val="00DB3626"/>
    <w:rsid w:val="00DB544B"/>
    <w:rsid w:val="00DC4F53"/>
    <w:rsid w:val="00DD2319"/>
    <w:rsid w:val="00DE1F71"/>
    <w:rsid w:val="00DE7F4E"/>
    <w:rsid w:val="00E0559D"/>
    <w:rsid w:val="00E060B1"/>
    <w:rsid w:val="00E06E02"/>
    <w:rsid w:val="00E1083C"/>
    <w:rsid w:val="00E14EEE"/>
    <w:rsid w:val="00E334D2"/>
    <w:rsid w:val="00E44A32"/>
    <w:rsid w:val="00E52A65"/>
    <w:rsid w:val="00E5436F"/>
    <w:rsid w:val="00E675CF"/>
    <w:rsid w:val="00E72EAF"/>
    <w:rsid w:val="00E92B3A"/>
    <w:rsid w:val="00E93E42"/>
    <w:rsid w:val="00EB0EB4"/>
    <w:rsid w:val="00EB3258"/>
    <w:rsid w:val="00EC1A8A"/>
    <w:rsid w:val="00EC2D9B"/>
    <w:rsid w:val="00ED0549"/>
    <w:rsid w:val="00ED2B47"/>
    <w:rsid w:val="00ED5684"/>
    <w:rsid w:val="00EE228F"/>
    <w:rsid w:val="00F02796"/>
    <w:rsid w:val="00F15853"/>
    <w:rsid w:val="00F179D0"/>
    <w:rsid w:val="00F242C7"/>
    <w:rsid w:val="00F25682"/>
    <w:rsid w:val="00F61B32"/>
    <w:rsid w:val="00F66489"/>
    <w:rsid w:val="00F80E57"/>
    <w:rsid w:val="00F945F7"/>
    <w:rsid w:val="00F94C7B"/>
    <w:rsid w:val="00F95209"/>
    <w:rsid w:val="00FA648A"/>
    <w:rsid w:val="00FB2DDF"/>
    <w:rsid w:val="00FB5317"/>
    <w:rsid w:val="00FB5749"/>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20600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3980D-24F3-455C-87B6-21454E88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55</Pages>
  <Words>17340</Words>
  <Characters>118272</Characters>
  <Application>Microsoft Office Word</Application>
  <DocSecurity>0</DocSecurity>
  <Lines>985</Lines>
  <Paragraphs>270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14</cp:revision>
  <cp:lastPrinted>2021-04-27T08:47:00Z</cp:lastPrinted>
  <dcterms:created xsi:type="dcterms:W3CDTF">2021-03-16T07:56:00Z</dcterms:created>
  <dcterms:modified xsi:type="dcterms:W3CDTF">2021-06-07T08:24:00Z</dcterms:modified>
</cp:coreProperties>
</file>