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695"/>
        <w:rPr>
          <w:rFonts w:ascii="Calibri" w:eastAsia="Arial" w:hAnsi="Calibri" w:cs="Calibri"/>
          <w:b/>
          <w:sz w:val="20"/>
          <w:szCs w:val="20"/>
        </w:rPr>
      </w:pPr>
      <w:r w:rsidRPr="00B10324">
        <w:rPr>
          <w:rFonts w:ascii="Calibri" w:eastAsia="Arial" w:hAnsi="Calibri" w:cs="Calibri"/>
          <w:b/>
          <w:sz w:val="20"/>
          <w:szCs w:val="20"/>
        </w:rPr>
        <w:t>Załącznik nr 2 do SWZ</w:t>
      </w:r>
    </w:p>
    <w:p w:rsidR="00B10324" w:rsidRPr="00B10324" w:rsidRDefault="00B10324" w:rsidP="00B10324">
      <w:pPr>
        <w:widowControl w:val="0"/>
        <w:autoSpaceDE w:val="0"/>
        <w:autoSpaceDN w:val="0"/>
        <w:spacing w:before="240" w:after="0" w:line="360" w:lineRule="auto"/>
        <w:ind w:right="350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r w:rsidRPr="00B10324">
        <w:rPr>
          <w:rFonts w:ascii="Calibri" w:eastAsia="Arial" w:hAnsi="Calibri" w:cs="Calibri"/>
          <w:b/>
          <w:bCs/>
          <w:sz w:val="28"/>
          <w:szCs w:val="28"/>
        </w:rPr>
        <w:t>OPIS PRZEDMIOTU ZAMÓWIENIA – część nr 1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451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Dostawa wraz z rozładunkiem, wniesieniem, zainstalowaniem, uruchomieniem oraz dostarczeniem instrukcji stanowiskowej wraz z jej wdrożeniem do: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Zakładu Medycyny Populacyjnej i Prewencji Chorób Cywilizacyjnych UMB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  <w:u w:val="single"/>
        </w:rPr>
      </w:pPr>
      <w:r w:rsidRPr="00B10324">
        <w:rPr>
          <w:rFonts w:ascii="Calibri" w:eastAsia="Arial" w:hAnsi="Calibri" w:cs="Calibri"/>
          <w:b/>
          <w:sz w:val="24"/>
          <w:szCs w:val="24"/>
          <w:u w:val="single"/>
        </w:rPr>
        <w:t>Aparat do zaawansowanej analizy molekularnej z wyposażeniem- 1 szt.</w:t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Nazwa i adres Wykonawcy: </w:t>
      </w:r>
      <w:r w:rsidRPr="00B10324">
        <w:rPr>
          <w:rFonts w:ascii="Calibri" w:eastAsia="Arial" w:hAnsi="Calibri" w:cs="Calibri"/>
          <w:b/>
          <w:sz w:val="24"/>
          <w:szCs w:val="24"/>
        </w:rPr>
        <w:tab/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Typ/Model/Numer Katalogowy (jeśli dotyczy): </w:t>
      </w:r>
      <w:r w:rsidRPr="00B10324">
        <w:rPr>
          <w:rFonts w:ascii="Calibri" w:eastAsia="Arial" w:hAnsi="Calibri" w:cs="Calibri"/>
          <w:b/>
          <w:sz w:val="24"/>
          <w:szCs w:val="24"/>
        </w:rPr>
        <w:tab/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Producent - pełna nazwa: </w:t>
      </w:r>
      <w:r w:rsidRPr="00B10324">
        <w:rPr>
          <w:rFonts w:ascii="Calibri" w:eastAsia="Arial" w:hAnsi="Calibri" w:cs="Calibri"/>
          <w:b/>
          <w:sz w:val="24"/>
          <w:szCs w:val="24"/>
        </w:rPr>
        <w:tab/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Kraj producenta: </w:t>
      </w:r>
      <w:r w:rsidRPr="00B10324">
        <w:rPr>
          <w:rFonts w:ascii="Calibri" w:eastAsia="Arial" w:hAnsi="Calibri" w:cs="Calibri"/>
          <w:b/>
          <w:sz w:val="24"/>
          <w:szCs w:val="24"/>
        </w:rPr>
        <w:tab/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24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Rok produkcji: 2022 r.</w:t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  <w:u w:val="single"/>
        </w:rPr>
        <w:t>UWAGA!</w:t>
      </w:r>
      <w:r w:rsidRPr="00B10324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B10324">
        <w:rPr>
          <w:rFonts w:ascii="Calibri" w:eastAsia="Arial" w:hAnsi="Calibri" w:cs="Calibr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before="217" w:after="0" w:line="360" w:lineRule="auto"/>
        <w:ind w:left="426" w:right="352" w:hanging="360"/>
        <w:outlineLvl w:val="1"/>
        <w:rPr>
          <w:rFonts w:ascii="Calibri" w:eastAsia="Arial" w:hAnsi="Calibri" w:cs="Calibri"/>
          <w:b/>
          <w:sz w:val="28"/>
          <w:szCs w:val="28"/>
        </w:rPr>
      </w:pPr>
      <w:r w:rsidRPr="00B10324">
        <w:rPr>
          <w:rFonts w:ascii="Calibri" w:eastAsia="Arial" w:hAnsi="Calibri" w:cs="Calibri"/>
          <w:b/>
          <w:sz w:val="28"/>
          <w:szCs w:val="28"/>
        </w:rPr>
        <w:t>WYMAGANIA TECHNICZNE, UŻYTKOWE I FUNKCJONALNE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proofErr w:type="spellStart"/>
      <w:r w:rsidRPr="00B10324">
        <w:rPr>
          <w:rFonts w:ascii="Calibri" w:eastAsia="Arial" w:hAnsi="Calibri" w:cs="Calibri"/>
          <w:sz w:val="24"/>
          <w:szCs w:val="24"/>
        </w:rPr>
        <w:t>Termocykler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 xml:space="preserve"> na elementach </w:t>
      </w:r>
      <w:proofErr w:type="spellStart"/>
      <w:r w:rsidRPr="00B10324">
        <w:rPr>
          <w:rFonts w:ascii="Calibri" w:eastAsia="Arial" w:hAnsi="Calibri" w:cs="Calibri"/>
          <w:sz w:val="24"/>
          <w:szCs w:val="24"/>
        </w:rPr>
        <w:t>Peltiera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 xml:space="preserve"> z blokiem 96 dołkowym do pracy z płytkami i probówkami o objętości min. 0,2 ml pracujący w wersji co najmniej standardowej,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Aparat wyposażony w dodatkowy blok 384 dołkowy do pracy z płytkami o objętości min.  0,02 ml,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Aparat wyposażony w blok co najmniej 384 dołkowy do przeprowadzania reakcji w plastikowych kartach z fabrycznie naniesionymi zliofilizowanymi </w:t>
      </w:r>
      <w:proofErr w:type="spellStart"/>
      <w:r w:rsidRPr="00B10324">
        <w:rPr>
          <w:rFonts w:ascii="Calibri" w:eastAsia="Arial" w:hAnsi="Calibri" w:cs="Calibri"/>
          <w:sz w:val="24"/>
          <w:szCs w:val="24"/>
        </w:rPr>
        <w:t>primerami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 xml:space="preserve"> oraz sondą do badania ekspresji min. 384 genów w tym samym czasie. Karta składająca się z min. 8 portów do zbadania ekspresji genów w maks. 8 próbkach. Objętość naczynia reakcyjnego w karcie maks. 2 </w:t>
      </w:r>
      <w:proofErr w:type="spellStart"/>
      <w:r w:rsidRPr="00B10324">
        <w:rPr>
          <w:rFonts w:ascii="Calibri" w:eastAsia="Arial" w:hAnsi="Calibri" w:cs="Calibri"/>
          <w:sz w:val="24"/>
          <w:szCs w:val="24"/>
        </w:rPr>
        <w:t>μl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>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Blok 96-dołkowy złożony z min. 6 niezależnych bloków/stref grzejnych,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Źródło wzbudzania fluorescencji – biała dioda </w:t>
      </w:r>
      <w:proofErr w:type="spellStart"/>
      <w:r w:rsidRPr="00B10324">
        <w:rPr>
          <w:rFonts w:ascii="Calibri" w:eastAsia="Arial" w:hAnsi="Calibri" w:cs="Calibri"/>
          <w:sz w:val="24"/>
          <w:szCs w:val="24"/>
        </w:rPr>
        <w:t>led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>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Zbieranie danych: technologia CMOS,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Czułość detekcji od 1 kopii,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lastRenderedPageBreak/>
        <w:t>Rozdzielczość czułości : odróżnia min. 1,5-krotną różnicę w stężeniu pomiędzy próbami,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Zakres dynamiczny co najmniej 10 logarytmowy,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Źródło wzbudzania fluorescencji: biała dioda LED,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Min. 5 kanałów emisyjnych (450–680 </w:t>
      </w:r>
      <w:proofErr w:type="spellStart"/>
      <w:r w:rsidRPr="00B10324">
        <w:rPr>
          <w:rFonts w:ascii="Calibri" w:eastAsia="Arial" w:hAnsi="Calibri" w:cs="Calibri"/>
          <w:sz w:val="24"/>
          <w:szCs w:val="24"/>
        </w:rPr>
        <w:t>nm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 xml:space="preserve">) i min. 5 kanałów wzbudzających (500–730 </w:t>
      </w:r>
      <w:proofErr w:type="spellStart"/>
      <w:r w:rsidRPr="00B10324">
        <w:rPr>
          <w:rFonts w:ascii="Calibri" w:eastAsia="Arial" w:hAnsi="Calibri" w:cs="Calibri"/>
          <w:sz w:val="24"/>
          <w:szCs w:val="24"/>
        </w:rPr>
        <w:t>nm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>),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Obecność filtrów umożliwiających detekcję minimum następujących barwników: FAM™, SYBR™ Green, VIC™, JOE™, HEX™, TET™, ABY™, NED™, TAMRA™, Cy®3, JUN™, ROX™, Texas Red™, Mustang Purple™, Cy®5, LIZ™, Cy®5.5 Możliwość jednoczesnego zbierania fluorescencji z </w:t>
      </w:r>
      <w:proofErr w:type="spellStart"/>
      <w:r w:rsidRPr="00B10324">
        <w:rPr>
          <w:rFonts w:ascii="Calibri" w:eastAsia="Arial" w:hAnsi="Calibri" w:cs="Calibri"/>
          <w:sz w:val="24"/>
          <w:szCs w:val="24"/>
        </w:rPr>
        <w:t>Sybr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 xml:space="preserve"> Green oraz sond z próbek na jednej płytce,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Średnia szybkość grzania bloku 96 nie gorsza niż  6.5 °C/sek.,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Min. zakres temperatury w bloku 96 od 4 do 99,9 °C,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Program kalkulujący automatycznie, w trakcie każdego cyklu PCR, udział poszczególnych barwników wchodzących w skład mieszaniny reakcyjnej,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Możliwość zastosowania barwnika ROX™ i jego dostępność w zestawach oferenta służących do składania reakcji real-</w:t>
      </w:r>
      <w:proofErr w:type="spellStart"/>
      <w:r w:rsidRPr="00B10324">
        <w:rPr>
          <w:rFonts w:ascii="Calibri" w:eastAsia="Arial" w:hAnsi="Calibri" w:cs="Calibri"/>
          <w:sz w:val="24"/>
          <w:szCs w:val="24"/>
        </w:rPr>
        <w:t>time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 xml:space="preserve"> PCR,  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Aparat wyposażony w port umożliwiający import lub export danych z aparatu do komputera lub na nośniki danych typu Flash,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Możliwość rozbudowy aparatu w przyszłości o blok 96 dołkowy typu fast do pracy z płytkami o min. objętości 0,1 ml,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Funkcja aparatu umożliwiająca wykonywanie podstawowych operacji z wykorzystaniem poleceń głosowych,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Funkcja aparatu umożliwiająca logowanie się do spersonalizowanych ustawień poprzez bezdotykowe logowanie – uwierzytelnianie twarzy.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Możliwość sterowania aparatem za pomocą panelu dotykowego min. 12-cali, celem szybkiego wybrania protokołu do uruchomienia aparatu i rozpoczęcia reakcji bez konieczności sterowania z komputera. Pamięć min. 10 GB wbudowana w aparat z możliwością zapamiętania min. 400 eksperymentów. Możliwość zapisywania danych w chmurze oferenta aparatu. Możliwość przesyłania danych do chmury przez Wi-Fi oraz LAN. Kompatybilność z rozwiązaniami MAC oraz PC,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Waga aparatu maks. 40 kg,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Minimalnie wymagane funkcje: </w:t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left="72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lastRenderedPageBreak/>
        <w:t>a)zbieranie i przechowywanie danych, automatyczne wykreślanie krzywej dysocjacyjnej, automatyczne wykreślanie krzywej standardowej, oznaczanie ilościowe kwasów nukleinowych, oznaczanie jakościowe (+/-),  analiza polimorfizmu pojedynczego nukleotydu (dyskryminacja alleli),  zastosowanie kontroli wewnętrznej (IPC),</w:t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left="72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b) dostępne darmowe programy do analizy ekspresji ze strony internetowej,</w:t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left="72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c) możliwość korzystania z programów do analizy ekspresji genów w chmurze producenta aparatu z możliwością przechowywania danych,</w:t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left="72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d) funkcja w oprogramowaniu umożliwiająca szybkie zliczenie objętości potrzebnych odczynników do złożenia reakcji na bloku, sygnalizowanie flagami próbek z błędami w oznaczeniu poziomu zebranej fluorescencji,</w:t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left="720"/>
        <w:rPr>
          <w:rFonts w:ascii="Calibri" w:eastAsia="Arial" w:hAnsi="Calibri" w:cs="Calibri"/>
          <w:color w:val="0070C0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e) możliwość dostępu do danych w chmurze z komputerów PC oraz Mac,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Program umożliwiający automatyczne obliczanie relatywnej ekspresji genów metodą ∆∆</w:t>
      </w:r>
      <w:proofErr w:type="spellStart"/>
      <w:r w:rsidRPr="00B10324">
        <w:rPr>
          <w:rFonts w:ascii="Calibri" w:eastAsia="Arial" w:hAnsi="Calibri" w:cs="Calibri"/>
          <w:sz w:val="24"/>
          <w:szCs w:val="24"/>
        </w:rPr>
        <w:t>Ct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 xml:space="preserve"> z przeprowadzonych eksperymentów dla nieograniczonej liczby próbek w tym samym czasie,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Urządzenie wyposażone w komputer typu laptop pozwalający na opracowanie danych uzyskanych bezpośrednio z aparatu, </w:t>
      </w:r>
    </w:p>
    <w:p w:rsidR="00B10324" w:rsidRPr="00B10324" w:rsidRDefault="00B10324" w:rsidP="00B1032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Urządzenie wyposażone w wirówkę z odpowiednimi rotorami, kompatybilnymi z koszykami do kart </w:t>
      </w:r>
      <w:proofErr w:type="spellStart"/>
      <w:r w:rsidRPr="00B10324">
        <w:rPr>
          <w:rFonts w:ascii="Calibri" w:eastAsia="Arial" w:hAnsi="Calibri" w:cs="Calibri"/>
          <w:sz w:val="24"/>
          <w:szCs w:val="24"/>
        </w:rPr>
        <w:t>mikrofluidowych</w:t>
      </w:r>
      <w:proofErr w:type="spellEnd"/>
      <w:r w:rsidRPr="00B10324">
        <w:rPr>
          <w:rFonts w:ascii="Calibri" w:eastAsia="Arial" w:hAnsi="Calibri" w:cs="Calibri"/>
          <w:sz w:val="24"/>
          <w:szCs w:val="24"/>
        </w:rPr>
        <w:t xml:space="preserve"> (TLDA),</w:t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before="217" w:after="0" w:line="360" w:lineRule="auto"/>
        <w:ind w:left="426" w:right="352" w:hanging="360"/>
        <w:outlineLvl w:val="1"/>
        <w:rPr>
          <w:rFonts w:ascii="Calibri" w:eastAsia="Arial" w:hAnsi="Calibri" w:cs="Calibri"/>
          <w:b/>
          <w:sz w:val="28"/>
          <w:szCs w:val="28"/>
        </w:rPr>
      </w:pPr>
      <w:r w:rsidRPr="00B10324">
        <w:rPr>
          <w:rFonts w:ascii="Calibri" w:eastAsia="Arial" w:hAnsi="Calibri" w:cs="Calibri"/>
          <w:b/>
          <w:sz w:val="28"/>
          <w:szCs w:val="28"/>
        </w:rPr>
        <w:t>WYMAGANIA OGÓLNE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przedmiot zamówienia fabrycznie nowy, nie powystawowy, produkowany seryjnie,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wszelkie oprogramowanie komputerowe wchodzące w skład przedmiotu zamówienia musi </w:t>
      </w:r>
      <w:r w:rsidRPr="00B10324">
        <w:rPr>
          <w:rFonts w:ascii="Calibri" w:eastAsia="Arial" w:hAnsi="Calibri" w:cs="Calibri"/>
          <w:sz w:val="24"/>
          <w:szCs w:val="24"/>
        </w:rPr>
        <w:lastRenderedPageBreak/>
        <w:t>być w języku polskim i/lub języku angielskim:</w:t>
      </w:r>
    </w:p>
    <w:p w:rsidR="00B10324" w:rsidRPr="00B10324" w:rsidRDefault="00B10324" w:rsidP="00B1032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:rsidR="00B10324" w:rsidRPr="00B10324" w:rsidRDefault="00B10324" w:rsidP="00B1032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:rsidR="00B10324" w:rsidRPr="00B10324" w:rsidRDefault="00B10324" w:rsidP="00B1032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 w:line="360" w:lineRule="auto"/>
        <w:ind w:left="851" w:right="352"/>
        <w:rPr>
          <w:rFonts w:ascii="Calibri" w:eastAsia="Arial" w:hAnsi="Calibri" w:cs="Calibri"/>
          <w:bCs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materiały informacyjne (np. prospekty i/lub foldery i/lub inne dokumenty) oferowanego sprzętu. </w:t>
      </w:r>
      <w:r w:rsidRPr="00B10324">
        <w:rPr>
          <w:rFonts w:ascii="Calibri" w:eastAsia="Arial" w:hAnsi="Calibri" w:cs="Calibri"/>
          <w:b/>
          <w:sz w:val="24"/>
          <w:szCs w:val="24"/>
        </w:rPr>
        <w:t>UWAGA:</w:t>
      </w:r>
    </w:p>
    <w:p w:rsidR="00B10324" w:rsidRPr="00B10324" w:rsidRDefault="00B10324" w:rsidP="00B1032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Zamawiający </w:t>
      </w:r>
      <w:r w:rsidRPr="00B10324">
        <w:rPr>
          <w:rFonts w:ascii="Calibri" w:eastAsia="Arial" w:hAnsi="Calibri" w:cs="Calibri"/>
          <w:sz w:val="24"/>
          <w:szCs w:val="24"/>
          <w:u w:val="single"/>
        </w:rPr>
        <w:t>nie wymaga potwierdzenia</w:t>
      </w:r>
      <w:r w:rsidRPr="00B10324">
        <w:rPr>
          <w:rFonts w:ascii="Calibri" w:eastAsia="Arial" w:hAnsi="Calibri" w:cs="Calibri"/>
          <w:sz w:val="24"/>
          <w:szCs w:val="24"/>
        </w:rPr>
        <w:t xml:space="preserve"> w materiałach informacyjnych </w:t>
      </w:r>
      <w:r w:rsidRPr="00B10324">
        <w:rPr>
          <w:rFonts w:ascii="Calibri" w:eastAsia="Arial" w:hAnsi="Calibri" w:cs="Calibri"/>
          <w:sz w:val="24"/>
          <w:szCs w:val="24"/>
          <w:u w:val="single"/>
        </w:rPr>
        <w:t>wszystkich</w:t>
      </w:r>
      <w:r w:rsidRPr="00B10324">
        <w:rPr>
          <w:rFonts w:ascii="Calibri" w:eastAsia="Arial" w:hAnsi="Calibri" w:cs="Calibri"/>
          <w:sz w:val="24"/>
          <w:szCs w:val="24"/>
        </w:rPr>
        <w:t xml:space="preserve"> parametrów</w:t>
      </w:r>
      <w:r w:rsidRPr="00B10324">
        <w:rPr>
          <w:rFonts w:ascii="Calibri" w:eastAsia="Arial" w:hAnsi="Calibri" w:cs="Calibri"/>
          <w:b/>
          <w:sz w:val="24"/>
          <w:szCs w:val="24"/>
        </w:rPr>
        <w:t xml:space="preserve"> </w:t>
      </w:r>
      <w:r w:rsidRPr="00B10324">
        <w:rPr>
          <w:rFonts w:ascii="Calibri" w:eastAsia="Arial" w:hAnsi="Calibri" w:cs="Calibr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:rsidR="00B10324" w:rsidRPr="00B10324" w:rsidRDefault="00B10324" w:rsidP="00B1032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352" w:hanging="430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 wskazane </w:t>
      </w:r>
      <w:r w:rsidRPr="00B10324">
        <w:rPr>
          <w:rFonts w:ascii="Calibri" w:eastAsia="Arial" w:hAnsi="Calibri" w:cs="Calibr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B10324">
        <w:rPr>
          <w:rFonts w:ascii="Calibri" w:eastAsia="Arial" w:hAnsi="Calibri" w:cs="Calibri"/>
          <w:sz w:val="24"/>
          <w:szCs w:val="24"/>
        </w:rPr>
        <w:t>oznaczeniem</w:t>
      </w:r>
      <w:r w:rsidRPr="00B10324">
        <w:rPr>
          <w:rFonts w:ascii="Calibri" w:eastAsia="Arial" w:hAnsi="Calibri" w:cs="Calibri"/>
          <w:bCs/>
          <w:sz w:val="24"/>
          <w:szCs w:val="24"/>
        </w:rPr>
        <w:t xml:space="preserve"> jakiego parametru/wyposażenia dotyczy),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332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Pr="00B10324">
        <w:rPr>
          <w:rFonts w:ascii="Calibri" w:eastAsia="Arial" w:hAnsi="Calibri" w:cs="Calibri"/>
          <w:sz w:val="24"/>
          <w:szCs w:val="24"/>
        </w:rPr>
        <w:br/>
        <w:t>i funkcjonalne przedstawione w powyższych tabelach, oraz wszystkie dotyczące go pozostałe wymagania wymienione w specyfikacji istotnych warunków zamówienia i w załącznikach do niej.</w:t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420"/>
        <w:rPr>
          <w:rFonts w:ascii="Calibri" w:eastAsia="Arial" w:hAnsi="Calibri" w:cs="Calibri"/>
          <w:b/>
          <w:color w:val="0070C0"/>
          <w:sz w:val="24"/>
          <w:szCs w:val="24"/>
        </w:rPr>
        <w:sectPr w:rsidR="00B10324" w:rsidRPr="00B10324" w:rsidSect="00AB1529">
          <w:headerReference w:type="default" r:id="rId8"/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Kwalifikowany podpis elektroniczny Wykonawcy: </w:t>
      </w:r>
      <w:r w:rsidRPr="00B10324">
        <w:rPr>
          <w:rFonts w:ascii="Calibri" w:eastAsia="Arial" w:hAnsi="Calibri" w:cs="Calibri"/>
          <w:b/>
          <w:sz w:val="24"/>
          <w:szCs w:val="24"/>
        </w:rPr>
        <w:tab/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  <w:r w:rsidRPr="00B10324">
        <w:rPr>
          <w:rFonts w:ascii="Calibri" w:eastAsia="Arial" w:hAnsi="Calibri" w:cs="Calibri"/>
          <w:b/>
          <w:sz w:val="20"/>
          <w:szCs w:val="20"/>
        </w:rPr>
        <w:lastRenderedPageBreak/>
        <w:t>Załącznik nr 3 do SWZ</w:t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8"/>
          <w:szCs w:val="28"/>
        </w:rPr>
      </w:pPr>
      <w:r w:rsidRPr="00B10324">
        <w:rPr>
          <w:rFonts w:ascii="Calibri" w:eastAsia="Arial" w:hAnsi="Calibri" w:cs="Calibri"/>
          <w:b/>
          <w:sz w:val="28"/>
          <w:szCs w:val="28"/>
        </w:rPr>
        <w:t>OCENA TECHNICZNA  – część nr 1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451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Dostawa wraz z rozładunkiem, wniesieniem, zainstalowaniem, uruchomieniem oraz dostarczeniem instrukcji stanowiskowej wraz z jej wdrożeniem do: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Zakład Medycyny Populacyjnej i Prewencji Chorób Cywilizacyjnych UMB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  <w:u w:val="single"/>
        </w:rPr>
      </w:pPr>
      <w:r w:rsidRPr="00B10324">
        <w:rPr>
          <w:rFonts w:ascii="Calibri" w:eastAsia="Arial" w:hAnsi="Calibri" w:cs="Calibri"/>
          <w:b/>
          <w:sz w:val="24"/>
          <w:szCs w:val="24"/>
          <w:u w:val="single"/>
        </w:rPr>
        <w:t>Aparat do zaawansowanej analizy molekularnej z wyposażeniem- 1 szt.</w:t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0"/>
          <w:szCs w:val="20"/>
        </w:rPr>
        <w:t xml:space="preserve"> „</w:t>
      </w:r>
      <w:r w:rsidRPr="00B10324">
        <w:rPr>
          <w:rFonts w:ascii="Calibri" w:eastAsia="Arial" w:hAnsi="Calibri" w:cs="Calibri"/>
          <w:b/>
          <w:sz w:val="24"/>
          <w:szCs w:val="24"/>
        </w:rPr>
        <w:t>PARAMETRY I FUNKCJE OFEROWANE” Wykonawca wpisuje – zgodnie ze stanem faktycznym – oferowaną wartość ocenianego parametru i/lub/ oferowaną funkcję.</w:t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Parametry i funkcje oceniane:</w:t>
      </w:r>
    </w:p>
    <w:p w:rsidR="00B10324" w:rsidRPr="00B10324" w:rsidRDefault="00B10324" w:rsidP="00B10324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Możliwość podłączenia robota dozującego mikropłytki.</w:t>
      </w:r>
    </w:p>
    <w:p w:rsidR="00B10324" w:rsidRPr="00B10324" w:rsidRDefault="00B10324" w:rsidP="00B10324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Skala oceny w punktach: </w:t>
      </w:r>
      <w:r w:rsidRPr="00B10324">
        <w:rPr>
          <w:rFonts w:ascii="Calibri" w:eastAsia="Arial" w:hAnsi="Calibri" w:cs="Calibri"/>
          <w:b/>
          <w:sz w:val="24"/>
          <w:szCs w:val="24"/>
        </w:rPr>
        <w:t>NIE – 0 pkt / TAK – 20 pkt</w:t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Parametry i funkcje oferowane:</w:t>
      </w:r>
    </w:p>
    <w:p w:rsidR="00B10324" w:rsidRPr="00B10324" w:rsidRDefault="00B10324" w:rsidP="00B10324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10324" w:rsidRPr="00B10324" w:rsidRDefault="00B10324" w:rsidP="00B10324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NIE / TAK</w:t>
      </w:r>
      <w:bookmarkStart w:id="0" w:name="_Ref94694047"/>
      <w:r w:rsidRPr="00B10324">
        <w:rPr>
          <w:rFonts w:ascii="Calibri" w:eastAsia="Arial" w:hAnsi="Calibri" w:cs="Calibri"/>
          <w:b/>
          <w:sz w:val="24"/>
          <w:szCs w:val="24"/>
          <w:vertAlign w:val="superscript"/>
        </w:rPr>
        <w:footnoteReference w:id="1"/>
      </w:r>
      <w:bookmarkEnd w:id="0"/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left="1440"/>
        <w:rPr>
          <w:rFonts w:ascii="Calibri" w:eastAsia="Arial" w:hAnsi="Calibri" w:cs="Calibri"/>
          <w:b/>
          <w:sz w:val="24"/>
          <w:szCs w:val="24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Kwalifikowany podpis elektroniczny Wykonawcy: </w:t>
      </w:r>
      <w:r w:rsidRPr="00B10324">
        <w:rPr>
          <w:rFonts w:ascii="Calibri" w:eastAsia="Arial" w:hAnsi="Calibri" w:cs="Calibri"/>
          <w:b/>
          <w:sz w:val="24"/>
          <w:szCs w:val="24"/>
        </w:rPr>
        <w:tab/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4"/>
          <w:szCs w:val="24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color w:val="0070C0"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color w:val="0070C0"/>
          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  <w:r w:rsidRPr="00B10324">
        <w:rPr>
          <w:rFonts w:ascii="Calibri" w:eastAsia="Arial" w:hAnsi="Calibri" w:cs="Calibri"/>
          <w:b/>
          <w:sz w:val="20"/>
          <w:szCs w:val="20"/>
        </w:rPr>
        <w:t>Załącznik nr 4 do SWZ</w:t>
      </w:r>
    </w:p>
    <w:p w:rsidR="00B10324" w:rsidRPr="00B10324" w:rsidRDefault="00B10324" w:rsidP="00B10324">
      <w:pPr>
        <w:widowControl w:val="0"/>
        <w:autoSpaceDE w:val="0"/>
        <w:autoSpaceDN w:val="0"/>
        <w:spacing w:before="240" w:after="0" w:line="360" w:lineRule="auto"/>
        <w:ind w:right="350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r w:rsidRPr="00B10324">
        <w:rPr>
          <w:rFonts w:ascii="Calibri" w:eastAsia="Arial" w:hAnsi="Calibri" w:cs="Calibri"/>
          <w:b/>
          <w:bCs/>
          <w:sz w:val="28"/>
          <w:szCs w:val="28"/>
        </w:rPr>
        <w:t>OCENA WARUNKÓW GWARANCJI – część nr 1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451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Dostawa wraz z rozładunkiem, wniesieniem, zainstalowaniem, uruchomieniem oraz dostarczeniem instrukcji stanowiskowej wraz z jej wdrożeniem do: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Zakład Medycyny Populacyjnej i Prewencji Chorób Cywilizacyjnych UMB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  <w:u w:val="single"/>
        </w:rPr>
      </w:pPr>
      <w:r w:rsidRPr="00B10324">
        <w:rPr>
          <w:rFonts w:ascii="Calibri" w:eastAsia="Arial" w:hAnsi="Calibri" w:cs="Calibri"/>
          <w:b/>
          <w:sz w:val="24"/>
          <w:szCs w:val="24"/>
          <w:u w:val="single"/>
        </w:rPr>
        <w:t>Aparat do zaawansowanej analizy molekularnej z wyposażeniem- 1 szt.</w:t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352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Oferowany okres gwarancji: </w:t>
      </w:r>
      <w:r w:rsidRPr="00B10324">
        <w:rPr>
          <w:rFonts w:ascii="Calibri" w:eastAsia="Arial" w:hAnsi="Calibri" w:cs="Calibri"/>
          <w:b/>
          <w:sz w:val="24"/>
          <w:szCs w:val="24"/>
        </w:rPr>
        <w:tab/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Nazwa, adres, nr tel., e-mail serwisu gwarancyjnego): </w:t>
      </w:r>
      <w:r w:rsidRPr="00B10324">
        <w:rPr>
          <w:rFonts w:ascii="Calibri" w:eastAsia="Arial" w:hAnsi="Calibri" w:cs="Calibri"/>
          <w:sz w:val="24"/>
          <w:szCs w:val="24"/>
        </w:rPr>
        <w:tab/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Gwarancja:</w:t>
      </w:r>
    </w:p>
    <w:p w:rsidR="00B10324" w:rsidRPr="00B10324" w:rsidRDefault="00B10324" w:rsidP="00B1032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Okres gwarancji </w:t>
      </w:r>
      <w:r w:rsidRPr="00B10324">
        <w:rPr>
          <w:rFonts w:ascii="Calibri" w:eastAsia="Arial" w:hAnsi="Calibri" w:cs="Calibri"/>
          <w:b/>
          <w:sz w:val="24"/>
          <w:szCs w:val="24"/>
        </w:rPr>
        <w:t>nie krótszy niż 36 miesięcy.</w:t>
      </w:r>
    </w:p>
    <w:p w:rsidR="00B10324" w:rsidRPr="00B10324" w:rsidRDefault="00B10324" w:rsidP="00B1032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right="437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Okres punktowany od 36 miesięcy do 60 miesięcy. </w:t>
      </w:r>
    </w:p>
    <w:p w:rsidR="00B10324" w:rsidRPr="00B10324" w:rsidRDefault="00B10324" w:rsidP="00B1032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right="437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UWAGA:</w:t>
      </w:r>
    </w:p>
    <w:p w:rsidR="00B10324" w:rsidRPr="00B10324" w:rsidRDefault="00B10324" w:rsidP="00B1032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09" w:right="5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długość okresu gwarancji musi zostać określona w pełnych miesiącach,</w:t>
      </w:r>
    </w:p>
    <w:p w:rsidR="00B10324" w:rsidRPr="00B10324" w:rsidRDefault="00B10324" w:rsidP="00B1032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09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w przypadku, gdy Wykonawca:</w:t>
      </w:r>
    </w:p>
    <w:p w:rsidR="00B10324" w:rsidRPr="00B10324" w:rsidRDefault="00B10324" w:rsidP="00B10324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993" w:right="44" w:hanging="289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nie wpisze żadnego okresu gwarancji - Zamawiający przyjmie, że Wykonawca udziela minimalnego okresu gwarancji (36 miesięcy),</w:t>
      </w:r>
    </w:p>
    <w:p w:rsidR="00B10324" w:rsidRPr="00B10324" w:rsidRDefault="00B10324" w:rsidP="00B10324">
      <w:pPr>
        <w:widowControl w:val="0"/>
        <w:numPr>
          <w:ilvl w:val="1"/>
          <w:numId w:val="4"/>
        </w:numPr>
        <w:tabs>
          <w:tab w:val="left" w:pos="814"/>
        </w:tabs>
        <w:autoSpaceDE w:val="0"/>
        <w:autoSpaceDN w:val="0"/>
        <w:spacing w:after="0" w:line="360" w:lineRule="auto"/>
        <w:ind w:left="993" w:right="44" w:hanging="289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:rsidR="00B10324" w:rsidRPr="00B10324" w:rsidRDefault="00B10324" w:rsidP="00B10324">
      <w:pPr>
        <w:widowControl w:val="0"/>
        <w:numPr>
          <w:ilvl w:val="1"/>
          <w:numId w:val="4"/>
        </w:numPr>
        <w:tabs>
          <w:tab w:val="left" w:pos="814"/>
        </w:tabs>
        <w:autoSpaceDE w:val="0"/>
        <w:autoSpaceDN w:val="0"/>
        <w:spacing w:after="240" w:line="360" w:lineRule="auto"/>
        <w:ind w:left="993" w:right="44" w:hanging="289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wpisze okres gwarancji krótszy niż minimalny (36 miesięcy) - Zamawiający odrzuci ofertę jako niezgodną z SWZ.</w:t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420"/>
        <w:rPr>
          <w:rFonts w:ascii="Calibri" w:eastAsia="Arial" w:hAnsi="Calibri" w:cs="Calibri"/>
          <w:b/>
          <w:sz w:val="24"/>
          <w:szCs w:val="24"/>
        </w:rPr>
        <w:sectPr w:rsidR="00B10324" w:rsidRPr="00B10324">
          <w:pgSz w:w="11910" w:h="16840"/>
          <w:pgMar w:top="1400" w:right="1080" w:bottom="280" w:left="1100" w:header="708" w:footer="708" w:gutter="0"/>
          <w:cols w:space="708"/>
        </w:sect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Kwalifikowany podpis elektroniczny Wykonawcy: </w:t>
      </w:r>
      <w:r w:rsidRPr="00B10324">
        <w:rPr>
          <w:rFonts w:ascii="Calibri" w:eastAsia="Arial" w:hAnsi="Calibri" w:cs="Calibri"/>
          <w:b/>
          <w:sz w:val="24"/>
          <w:szCs w:val="24"/>
        </w:rPr>
        <w:tab/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  <w:r w:rsidRPr="00B10324">
        <w:rPr>
          <w:rFonts w:ascii="Calibri" w:eastAsia="Arial" w:hAnsi="Calibri" w:cs="Calibri"/>
          <w:b/>
          <w:sz w:val="20"/>
          <w:szCs w:val="20"/>
        </w:rPr>
        <w:lastRenderedPageBreak/>
        <w:br w:type="page"/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  <w:r w:rsidRPr="00B10324">
        <w:rPr>
          <w:rFonts w:ascii="Calibri" w:eastAsia="Arial" w:hAnsi="Calibri" w:cs="Calibri"/>
          <w:b/>
          <w:sz w:val="20"/>
          <w:szCs w:val="20"/>
        </w:rPr>
        <w:lastRenderedPageBreak/>
        <w:t>Załącznik nr 5 do SWZ</w:t>
      </w:r>
    </w:p>
    <w:p w:rsidR="00B10324" w:rsidRPr="00B10324" w:rsidRDefault="00B10324" w:rsidP="00B10324">
      <w:pPr>
        <w:widowControl w:val="0"/>
        <w:autoSpaceDE w:val="0"/>
        <w:autoSpaceDN w:val="0"/>
        <w:spacing w:before="240" w:after="0" w:line="360" w:lineRule="auto"/>
        <w:ind w:right="350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r w:rsidRPr="00B10324">
        <w:rPr>
          <w:rFonts w:ascii="Calibri" w:eastAsia="Arial" w:hAnsi="Calibri" w:cs="Calibri"/>
          <w:b/>
          <w:bCs/>
          <w:sz w:val="28"/>
          <w:szCs w:val="28"/>
        </w:rPr>
        <w:t>WARUNKI GWARANCJI, RĘKOJMI I SERWISU GWARANCYJNEGO – część nr 1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451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Dostawa wraz z rozładunkiem, wniesieniem, zainstalowaniem, uruchomieniem oraz dostarczeniem instrukcji stanowiskowej wraz z jej wdrożeniem do:</w:t>
      </w:r>
    </w:p>
    <w:p w:rsidR="00B10324" w:rsidRDefault="00B10324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Zakład Medycyny Populacyjnej i Prewencji Chorób Cywilizacyjnych UMB</w:t>
      </w:r>
    </w:p>
    <w:p w:rsidR="00F378D5" w:rsidRPr="00F378D5" w:rsidRDefault="00F378D5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color w:val="FF0000"/>
          <w:sz w:val="24"/>
          <w:szCs w:val="24"/>
        </w:rPr>
      </w:pPr>
      <w:r w:rsidRPr="00F378D5">
        <w:rPr>
          <w:rFonts w:ascii="Calibri" w:eastAsia="Arial" w:hAnsi="Calibri" w:cs="Calibri"/>
          <w:b/>
          <w:color w:val="FF0000"/>
          <w:sz w:val="24"/>
          <w:szCs w:val="24"/>
        </w:rPr>
        <w:t xml:space="preserve">MODYFIKACJA w punkcie nr 1 podpunkt  17 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  <w:u w:val="single"/>
        </w:rPr>
      </w:pPr>
      <w:r w:rsidRPr="00B10324">
        <w:rPr>
          <w:rFonts w:ascii="Calibri" w:eastAsia="Arial" w:hAnsi="Calibri" w:cs="Calibri"/>
          <w:b/>
          <w:sz w:val="24"/>
          <w:szCs w:val="24"/>
          <w:u w:val="single"/>
        </w:rPr>
        <w:t>Aparat do zaawansowanej analizy molekularnej z wyposażeniem- 1 szt.</w:t>
      </w:r>
    </w:p>
    <w:p w:rsidR="00B10324" w:rsidRPr="00B10324" w:rsidRDefault="00B10324" w:rsidP="00B10324">
      <w:pPr>
        <w:widowControl w:val="0"/>
        <w:numPr>
          <w:ilvl w:val="0"/>
          <w:numId w:val="5"/>
        </w:numPr>
        <w:tabs>
          <w:tab w:val="right" w:leader="dot" w:pos="9639"/>
        </w:tabs>
        <w:autoSpaceDE w:val="0"/>
        <w:autoSpaceDN w:val="0"/>
        <w:spacing w:before="217" w:after="0" w:line="360" w:lineRule="auto"/>
        <w:ind w:left="426" w:right="352"/>
        <w:outlineLvl w:val="1"/>
        <w:rPr>
          <w:rFonts w:ascii="Calibri" w:eastAsia="Arial" w:hAnsi="Calibri" w:cs="Calibri"/>
          <w:b/>
          <w:sz w:val="28"/>
          <w:szCs w:val="28"/>
        </w:rPr>
      </w:pPr>
      <w:r w:rsidRPr="00B10324">
        <w:rPr>
          <w:rFonts w:ascii="Calibri" w:eastAsia="Arial" w:hAnsi="Calibri" w:cs="Calibri"/>
          <w:b/>
          <w:sz w:val="28"/>
          <w:szCs w:val="28"/>
        </w:rPr>
        <w:t>WARUNKI GWARANCJI, RĘKOJMI I SERWISU GWARANCYJNEGO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okres gwarancji na urządzenie rozpoczyna się od daty podpisania bezusterkowego protokołu odbioru urządzenia,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okres rękojmi na urządzenia rozpoczyna się od daty podpisania bezusterkowego protokołu odbioru i wynosi 24 miesiące,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w okresie gwarancji przeglądy konserwacyjne / serwisowe wynikające z wymagań wytwórcy będą wykonane na koszt Wykonawcy,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przeglądy konserwacyjne / serwisowe i testy będą przeprowadzane w terminie uzgodnionym z Bezpośrednim Użytkownikiem danego urządzenia,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lastRenderedPageBreak/>
        <w:t>celem</w:t>
      </w:r>
      <w:r w:rsidRPr="00B10324">
        <w:rPr>
          <w:rFonts w:ascii="Calibri" w:eastAsia="Arial" w:hAnsi="Calibri" w:cs="Calibri"/>
          <w:sz w:val="24"/>
          <w:szCs w:val="24"/>
        </w:rPr>
        <w:tab/>
        <w:t xml:space="preserve"> wykonania</w:t>
      </w:r>
      <w:r w:rsidRPr="00B10324">
        <w:rPr>
          <w:rFonts w:ascii="Calibri" w:eastAsia="Arial" w:hAnsi="Calibri" w:cs="Calibri"/>
          <w:sz w:val="24"/>
          <w:szCs w:val="24"/>
        </w:rPr>
        <w:tab/>
        <w:t>usług</w:t>
      </w:r>
      <w:r w:rsidRPr="00B10324">
        <w:rPr>
          <w:rFonts w:ascii="Calibri" w:eastAsia="Arial" w:hAnsi="Calibri" w:cs="Calibri"/>
          <w:sz w:val="24"/>
          <w:szCs w:val="24"/>
        </w:rPr>
        <w:tab/>
        <w:t>serwisowych,</w:t>
      </w:r>
      <w:r w:rsidRPr="00B10324">
        <w:rPr>
          <w:rFonts w:ascii="Calibri" w:eastAsia="Arial" w:hAnsi="Calibri" w:cs="Calibri"/>
          <w:sz w:val="24"/>
          <w:szCs w:val="24"/>
        </w:rPr>
        <w:tab/>
        <w:t>serwis</w:t>
      </w:r>
      <w:r w:rsidRPr="00B10324">
        <w:rPr>
          <w:rFonts w:ascii="Calibri" w:eastAsia="Arial" w:hAnsi="Calibri" w:cs="Calibri"/>
          <w:sz w:val="24"/>
          <w:szCs w:val="24"/>
        </w:rPr>
        <w:tab/>
        <w:t>Wykonawcy uzyska dostęp do urządzenia w terminie ustalonym z Bezpośrednim Użytkownikiem urządzenia,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right="92" w:hanging="491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czas reakcji serwisu od chwili powiadomienia do rozpoczęcia naprawy – maksimum </w:t>
      </w:r>
      <w:r w:rsidRPr="00B10324">
        <w:rPr>
          <w:rFonts w:ascii="Calibri" w:eastAsia="Arial" w:hAnsi="Calibri" w:cs="Calibri"/>
          <w:sz w:val="24"/>
          <w:szCs w:val="24"/>
        </w:rPr>
        <w:br/>
        <w:t xml:space="preserve">w ciągu 3 dni roboczych (soboty, niedziele i dni świąteczne ustawowo wolne od pracy </w:t>
      </w:r>
      <w:r w:rsidRPr="00B10324">
        <w:rPr>
          <w:rFonts w:ascii="Calibri" w:eastAsia="Arial" w:hAnsi="Calibri" w:cs="Calibri"/>
          <w:b/>
          <w:sz w:val="24"/>
          <w:szCs w:val="24"/>
        </w:rPr>
        <w:t xml:space="preserve">nie są </w:t>
      </w:r>
      <w:r w:rsidRPr="00B10324">
        <w:rPr>
          <w:rFonts w:ascii="Calibri" w:eastAsia="Arial" w:hAnsi="Calibri" w:cs="Calibri"/>
          <w:sz w:val="24"/>
          <w:szCs w:val="24"/>
        </w:rPr>
        <w:t>dniami roboczymi). Za reakcję serwisu uważa się także kontakt telefoniczny lub zdalną diagnozę i naprawę przez przedstawiciela serwisu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naprawa, tj. usunięcie wad lub usterek przedmiotu zamówienia zakończy się w terminie maksimum do 21 dni roboczych liczonych od dnia przystąpienia do naprawy,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wykonawca nie może odmówić usunięcia wad bez względu na wysokość związanych z tym kosztów,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wykonawca umowy zapewni dostęp do części zamiennych i serwis przez co najmniej </w:t>
      </w:r>
      <w:r w:rsidRPr="00F378D5">
        <w:rPr>
          <w:rFonts w:ascii="Calibri" w:eastAsia="Arial" w:hAnsi="Calibri" w:cs="Calibri"/>
          <w:b/>
          <w:strike/>
          <w:color w:val="FF0000"/>
          <w:sz w:val="24"/>
          <w:szCs w:val="24"/>
        </w:rPr>
        <w:t>8</w:t>
      </w:r>
      <w:r w:rsidRPr="00F378D5">
        <w:rPr>
          <w:rFonts w:ascii="Calibri" w:eastAsia="Arial" w:hAnsi="Calibri" w:cs="Calibri"/>
          <w:b/>
          <w:color w:val="FF0000"/>
          <w:sz w:val="24"/>
          <w:szCs w:val="24"/>
        </w:rPr>
        <w:t xml:space="preserve"> </w:t>
      </w:r>
      <w:r w:rsidR="00F378D5" w:rsidRPr="00F378D5">
        <w:rPr>
          <w:rFonts w:ascii="Calibri" w:eastAsia="Arial" w:hAnsi="Calibri" w:cs="Calibri"/>
          <w:b/>
          <w:color w:val="FF0000"/>
          <w:sz w:val="24"/>
          <w:szCs w:val="24"/>
        </w:rPr>
        <w:t xml:space="preserve">5 </w:t>
      </w:r>
      <w:r w:rsidRPr="00F378D5">
        <w:rPr>
          <w:rFonts w:ascii="Calibri" w:eastAsia="Arial" w:hAnsi="Calibri" w:cs="Calibri"/>
          <w:b/>
          <w:color w:val="FF0000"/>
          <w:sz w:val="24"/>
          <w:szCs w:val="24"/>
        </w:rPr>
        <w:t>lat</w:t>
      </w:r>
      <w:r w:rsidRPr="00F378D5">
        <w:rPr>
          <w:rFonts w:ascii="Calibri" w:eastAsia="Arial" w:hAnsi="Calibri" w:cs="Calibri"/>
          <w:color w:val="FF0000"/>
          <w:sz w:val="24"/>
          <w:szCs w:val="24"/>
        </w:rPr>
        <w:t xml:space="preserve"> </w:t>
      </w:r>
      <w:r w:rsidRPr="00B10324">
        <w:rPr>
          <w:rFonts w:ascii="Calibri" w:eastAsia="Arial" w:hAnsi="Calibri" w:cs="Calibri"/>
          <w:sz w:val="24"/>
          <w:szCs w:val="24"/>
        </w:rPr>
        <w:t>od daty protokołu odbioru,</w:t>
      </w:r>
      <w:bookmarkStart w:id="1" w:name="_GoBack"/>
      <w:bookmarkEnd w:id="1"/>
    </w:p>
    <w:p w:rsidR="00B10324" w:rsidRPr="00B10324" w:rsidRDefault="00B10324" w:rsidP="00B10324">
      <w:pPr>
        <w:widowControl w:val="0"/>
        <w:numPr>
          <w:ilvl w:val="0"/>
          <w:numId w:val="6"/>
        </w:numPr>
        <w:autoSpaceDE w:val="0"/>
        <w:autoSpaceDN w:val="0"/>
        <w:spacing w:after="240" w:line="360" w:lineRule="auto"/>
        <w:ind w:left="851" w:hanging="491"/>
        <w:rPr>
          <w:rFonts w:ascii="Calibri" w:eastAsia="Arial" w:hAnsi="Calibri" w:cs="Calibri"/>
        </w:rPr>
      </w:pPr>
      <w:r w:rsidRPr="00B10324">
        <w:rPr>
          <w:rFonts w:ascii="Calibri" w:eastAsia="Arial" w:hAnsi="Calibri" w:cs="Calibri"/>
          <w:sz w:val="24"/>
          <w:szCs w:val="24"/>
        </w:rPr>
        <w:t>korzystanie z</w:t>
      </w:r>
      <w:r w:rsidRPr="00B10324">
        <w:rPr>
          <w:rFonts w:ascii="Calibri" w:eastAsia="Arial" w:hAnsi="Calibri" w:cs="Calibri"/>
          <w:sz w:val="24"/>
          <w:szCs w:val="24"/>
        </w:rPr>
        <w:tab/>
        <w:t>uprawnień z tytułu rękojmi nastąpi na zasadach określonych w Kodeksie cywilnym.</w:t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420"/>
        <w:rPr>
          <w:rFonts w:ascii="Calibri" w:eastAsia="Arial" w:hAnsi="Calibri" w:cs="Calibri"/>
          <w:b/>
          <w:sz w:val="24"/>
          <w:szCs w:val="24"/>
        </w:rPr>
        <w:sectPr w:rsidR="00B10324" w:rsidRPr="00B10324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Kwalifikowany podpis elektroniczny Wykonawcy: </w:t>
      </w:r>
      <w:r w:rsidRPr="00B10324">
        <w:rPr>
          <w:rFonts w:ascii="Calibri" w:eastAsia="Arial" w:hAnsi="Calibri" w:cs="Calibri"/>
          <w:b/>
          <w:sz w:val="24"/>
          <w:szCs w:val="24"/>
        </w:rPr>
        <w:tab/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  <w:r w:rsidRPr="00B10324">
        <w:rPr>
          <w:rFonts w:ascii="Calibri" w:eastAsia="Arial" w:hAnsi="Calibri" w:cs="Calibri"/>
          <w:b/>
          <w:sz w:val="20"/>
          <w:szCs w:val="20"/>
        </w:rPr>
        <w:lastRenderedPageBreak/>
        <w:br w:type="page"/>
      </w:r>
    </w:p>
    <w:p w:rsidR="00B10324" w:rsidRPr="00B10324" w:rsidRDefault="00B10324" w:rsidP="00B10324">
      <w:pPr>
        <w:widowControl w:val="0"/>
        <w:autoSpaceDE w:val="0"/>
        <w:autoSpaceDN w:val="0"/>
        <w:spacing w:after="0" w:line="360" w:lineRule="auto"/>
        <w:ind w:right="331"/>
        <w:rPr>
          <w:rFonts w:ascii="Calibri" w:eastAsia="Arial" w:hAnsi="Calibri" w:cs="Calibri"/>
          <w:b/>
          <w:sz w:val="20"/>
          <w:szCs w:val="20"/>
        </w:rPr>
      </w:pPr>
      <w:r w:rsidRPr="00B10324">
        <w:rPr>
          <w:rFonts w:ascii="Calibri" w:eastAsia="Arial" w:hAnsi="Calibri" w:cs="Calibri"/>
          <w:b/>
          <w:sz w:val="20"/>
          <w:szCs w:val="20"/>
        </w:rPr>
        <w:lastRenderedPageBreak/>
        <w:t>Załącznik nr 6 do SWZ</w:t>
      </w:r>
    </w:p>
    <w:p w:rsidR="00B10324" w:rsidRPr="00B10324" w:rsidRDefault="00B10324" w:rsidP="00B10324">
      <w:pPr>
        <w:widowControl w:val="0"/>
        <w:autoSpaceDE w:val="0"/>
        <w:autoSpaceDN w:val="0"/>
        <w:spacing w:before="240" w:after="0" w:line="360" w:lineRule="auto"/>
        <w:ind w:right="350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r w:rsidRPr="00B10324">
        <w:rPr>
          <w:rFonts w:ascii="Calibri" w:eastAsia="Arial" w:hAnsi="Calibri" w:cs="Calibri"/>
          <w:b/>
          <w:bCs/>
          <w:sz w:val="28"/>
          <w:szCs w:val="28"/>
        </w:rPr>
        <w:t>PROCEDURA DOSTAW I ODBIORÓW URZĄDZEŃ – część nr 1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451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Dostawa wraz z rozładunkiem, wniesieniem, zainstalowaniem, uruchomieniem oraz dostarczeniem instrukcji stanowiskowej wraz z jej wdrożeniem do: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>Zakład Medycyny Populacyjnej i Prewencji Chorób Cywilizacyjnych UMB</w:t>
      </w:r>
    </w:p>
    <w:p w:rsidR="00B10324" w:rsidRPr="00B10324" w:rsidRDefault="00B10324" w:rsidP="00B10324">
      <w:pPr>
        <w:widowControl w:val="0"/>
        <w:autoSpaceDE w:val="0"/>
        <w:autoSpaceDN w:val="0"/>
        <w:spacing w:after="240" w:line="360" w:lineRule="auto"/>
        <w:ind w:right="350"/>
        <w:rPr>
          <w:rFonts w:ascii="Calibri" w:eastAsia="Arial" w:hAnsi="Calibri" w:cs="Calibri"/>
          <w:b/>
          <w:sz w:val="24"/>
          <w:szCs w:val="24"/>
          <w:u w:val="single"/>
        </w:rPr>
      </w:pPr>
      <w:r w:rsidRPr="00B10324">
        <w:rPr>
          <w:rFonts w:ascii="Calibri" w:eastAsia="Arial" w:hAnsi="Calibri" w:cs="Calibri"/>
          <w:b/>
          <w:sz w:val="24"/>
          <w:szCs w:val="24"/>
          <w:u w:val="single"/>
        </w:rPr>
        <w:t>Aparat do zaawansowanej analizy molekularnej z wyposażeniem- 1 szt.</w:t>
      </w:r>
    </w:p>
    <w:p w:rsidR="00980B85" w:rsidRPr="00980B85" w:rsidRDefault="00980B85" w:rsidP="00980B85">
      <w:pPr>
        <w:widowControl w:val="0"/>
        <w:numPr>
          <w:ilvl w:val="0"/>
          <w:numId w:val="5"/>
        </w:numPr>
        <w:tabs>
          <w:tab w:val="right" w:leader="dot" w:pos="9639"/>
        </w:tabs>
        <w:autoSpaceDE w:val="0"/>
        <w:autoSpaceDN w:val="0"/>
        <w:spacing w:before="217" w:after="0" w:line="360" w:lineRule="auto"/>
        <w:ind w:left="426" w:right="352"/>
        <w:outlineLvl w:val="1"/>
        <w:rPr>
          <w:rFonts w:eastAsia="Arial" w:cstheme="minorHAnsi"/>
          <w:b/>
          <w:sz w:val="28"/>
          <w:szCs w:val="28"/>
        </w:rPr>
      </w:pPr>
      <w:r w:rsidRPr="00980B85">
        <w:rPr>
          <w:rFonts w:eastAsia="Arial" w:cstheme="minorHAnsi"/>
          <w:b/>
          <w:sz w:val="28"/>
          <w:szCs w:val="28"/>
        </w:rPr>
        <w:t>PROCEDURA DOSTAW URZĄDZEŃ</w:t>
      </w:r>
    </w:p>
    <w:p w:rsidR="00980B85" w:rsidRPr="00980B85" w:rsidRDefault="00980B85" w:rsidP="00980B85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rPr>
          <w:rFonts w:eastAsia="Arial" w:cstheme="minorHAnsi"/>
          <w:sz w:val="24"/>
          <w:szCs w:val="24"/>
        </w:rPr>
      </w:pPr>
      <w:r w:rsidRPr="00980B85">
        <w:rPr>
          <w:rFonts w:eastAsia="Arial" w:cstheme="minorHAnsi"/>
          <w:sz w:val="24"/>
          <w:szCs w:val="24"/>
        </w:rPr>
        <w:t>Zamawiający zastrzega sobie prawo zmiany terminu realizacji przedmiotu zamówienia (od daty zawarcia umowy) w sytuacji:</w:t>
      </w:r>
    </w:p>
    <w:p w:rsidR="00980B85" w:rsidRPr="00980B85" w:rsidRDefault="00980B85" w:rsidP="00980B85">
      <w:pPr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rPr>
          <w:rFonts w:eastAsia="Arial" w:cstheme="minorHAnsi"/>
          <w:sz w:val="24"/>
          <w:szCs w:val="24"/>
        </w:rPr>
      </w:pPr>
      <w:r w:rsidRPr="00980B85">
        <w:rPr>
          <w:rFonts w:eastAsia="Arial" w:cstheme="minorHAnsi"/>
          <w:sz w:val="24"/>
          <w:szCs w:val="24"/>
        </w:rPr>
        <w:t>gdy Wykonawca robót budowlanych lub wykończeniowych (montaż mebli) opóźni się w terminowym wykonaniu robót w obiekcie, w którym ma być dokonana dostawa i montaż przedmiotu zamówienia;</w:t>
      </w:r>
    </w:p>
    <w:p w:rsidR="00980B85" w:rsidRPr="00980B85" w:rsidRDefault="00980B85" w:rsidP="00980B85">
      <w:pPr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rPr>
          <w:rFonts w:eastAsia="Arial" w:cstheme="minorHAnsi"/>
          <w:sz w:val="24"/>
          <w:szCs w:val="24"/>
        </w:rPr>
      </w:pPr>
      <w:r w:rsidRPr="00980B85">
        <w:rPr>
          <w:rFonts w:eastAsia="Arial" w:cstheme="minorHAnsi"/>
          <w:sz w:val="24"/>
          <w:szCs w:val="24"/>
        </w:rPr>
        <w:t>wstrzymania robót budowlanych lub wykończeniowych (montaż mebli) w obiekcie, w którym ma być dokonana dostawa i montaż przedmiotu zamówienia;</w:t>
      </w:r>
    </w:p>
    <w:p w:rsidR="00980B85" w:rsidRPr="00980B85" w:rsidRDefault="00980B85" w:rsidP="00980B85">
      <w:pPr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rPr>
          <w:rFonts w:eastAsia="Arial" w:cstheme="minorHAnsi"/>
          <w:sz w:val="24"/>
          <w:szCs w:val="24"/>
        </w:rPr>
      </w:pPr>
      <w:r w:rsidRPr="00980B85">
        <w:rPr>
          <w:rFonts w:eastAsia="Arial" w:cstheme="minorHAnsi"/>
          <w:sz w:val="24"/>
          <w:szCs w:val="24"/>
        </w:rPr>
        <w:t>przyczyn zewnętrznych niezależnych od Zamawiającego oraz Wykonawcy, skutkujących niemożnością dokonania montażu przedmiotu zamówienia,</w:t>
      </w:r>
    </w:p>
    <w:p w:rsidR="00980B85" w:rsidRPr="00980B85" w:rsidRDefault="00980B85" w:rsidP="00980B85">
      <w:pPr>
        <w:widowControl w:val="0"/>
        <w:autoSpaceDE w:val="0"/>
        <w:autoSpaceDN w:val="0"/>
        <w:spacing w:after="0" w:line="360" w:lineRule="auto"/>
        <w:ind w:left="720"/>
        <w:rPr>
          <w:rFonts w:eastAsia="Arial" w:cstheme="minorHAnsi"/>
          <w:b/>
          <w:sz w:val="24"/>
          <w:szCs w:val="24"/>
        </w:rPr>
      </w:pPr>
      <w:r w:rsidRPr="00980B85">
        <w:rPr>
          <w:rFonts w:eastAsia="Arial" w:cstheme="minorHAnsi"/>
          <w:b/>
          <w:sz w:val="24"/>
          <w:szCs w:val="24"/>
        </w:rPr>
        <w:t>Zamawiający poinformuje Wykonawcę na minimum 15 dni wcześniej o planowanej dacie rozpoczęcia instalacji systemu w miejscu docelowym.</w:t>
      </w:r>
    </w:p>
    <w:p w:rsidR="00B10324" w:rsidRPr="00B10324" w:rsidRDefault="00B10324" w:rsidP="00B1032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B10324">
        <w:rPr>
          <w:rFonts w:ascii="Calibri" w:eastAsia="Arial" w:hAnsi="Calibri" w:cs="Calibr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:rsidR="00B10324" w:rsidRPr="00B10324" w:rsidRDefault="00B10324" w:rsidP="00B1032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B10324">
        <w:rPr>
          <w:rFonts w:ascii="Calibri" w:eastAsia="Arial" w:hAnsi="Calibri" w:cs="Calibr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:rsidR="00B10324" w:rsidRPr="00B10324" w:rsidRDefault="00B10324" w:rsidP="00B1032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urządzenia zostaną dostarczone w odpowiednich oryginalnych opakowaniach, zapewniających zabezpieczenie przedmiotu dostawy przed wpływem jakichkolwiek </w:t>
      </w:r>
      <w:r w:rsidRPr="00B10324">
        <w:rPr>
          <w:rFonts w:ascii="Calibri" w:eastAsia="Arial" w:hAnsi="Calibri" w:cs="Calibri"/>
          <w:sz w:val="24"/>
          <w:szCs w:val="24"/>
        </w:rPr>
        <w:lastRenderedPageBreak/>
        <w:t>szkodliwych czynników,</w:t>
      </w:r>
    </w:p>
    <w:p w:rsidR="00B10324" w:rsidRPr="00B10324" w:rsidRDefault="00B10324" w:rsidP="00B1032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B10324">
        <w:rPr>
          <w:rFonts w:ascii="Calibri" w:eastAsia="Arial" w:hAnsi="Calibri" w:cs="Calibri"/>
          <w:sz w:val="24"/>
          <w:szCs w:val="24"/>
        </w:rPr>
        <w:t>urządzenia zostaną dostarczone do pomieszczeń wskazanych przez Bezpośredniego Użytkownika lub osobę upoważnioną,</w:t>
      </w:r>
    </w:p>
    <w:p w:rsidR="00B10324" w:rsidRPr="00B10324" w:rsidRDefault="00B10324" w:rsidP="00B1032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B10324">
        <w:rPr>
          <w:rFonts w:ascii="Calibri" w:eastAsia="Arial" w:hAnsi="Calibri" w:cs="Calibr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:rsidR="00B10324" w:rsidRPr="00B10324" w:rsidRDefault="00B10324" w:rsidP="00B1032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Pr="00B10324">
        <w:rPr>
          <w:rFonts w:ascii="Calibri" w:eastAsia="Arial" w:hAnsi="Calibri" w:cs="Calibri"/>
          <w:sz w:val="24"/>
          <w:szCs w:val="24"/>
        </w:rPr>
        <w:br/>
        <w:t>i uruchomienie sprzętu. Wykonawca zobowiązuje się do pozostawienia miejsc, w których będą prowadzone prace montażowe i instalacyjne w stanie gotowym wykończonym. 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:rsidR="00B10324" w:rsidRPr="00B10324" w:rsidRDefault="00B10324" w:rsidP="00B1032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B10324">
        <w:rPr>
          <w:rFonts w:ascii="Calibri" w:eastAsia="Arial" w:hAnsi="Calibri" w:cs="Calibr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:rsidR="00B10324" w:rsidRPr="00B10324" w:rsidRDefault="00B10324" w:rsidP="00B1032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B10324">
        <w:rPr>
          <w:rFonts w:ascii="Calibri" w:eastAsia="Arial" w:hAnsi="Calibri" w:cs="Calibr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koszt,</w:t>
      </w:r>
    </w:p>
    <w:p w:rsidR="00B10324" w:rsidRPr="00B10324" w:rsidRDefault="00B10324" w:rsidP="00B1032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eastAsia="Arial" w:hAnsi="Calibri" w:cs="Calibri"/>
          <w:b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B10324">
        <w:rPr>
          <w:rFonts w:ascii="Calibri" w:eastAsia="Arial" w:hAnsi="Calibri" w:cs="Calibri"/>
          <w:sz w:val="24"/>
          <w:szCs w:val="24"/>
          <w:u w:val="single"/>
        </w:rPr>
        <w:t>przed podpisaniem protokołu odbioru.</w:t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before="217" w:after="0" w:line="360" w:lineRule="auto"/>
        <w:ind w:left="426" w:right="352" w:hanging="360"/>
        <w:outlineLvl w:val="1"/>
        <w:rPr>
          <w:rFonts w:ascii="Calibri" w:eastAsia="Arial" w:hAnsi="Calibri" w:cs="Calibri"/>
          <w:b/>
          <w:sz w:val="28"/>
          <w:szCs w:val="28"/>
        </w:rPr>
      </w:pPr>
      <w:r w:rsidRPr="00B10324">
        <w:rPr>
          <w:rFonts w:ascii="Calibri" w:eastAsia="Arial" w:hAnsi="Calibri" w:cs="Calibri"/>
          <w:b/>
          <w:sz w:val="28"/>
          <w:szCs w:val="28"/>
        </w:rPr>
        <w:lastRenderedPageBreak/>
        <w:t>PROCEDURA ODBIORU URZĄDZEŃ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851" w:right="10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</w:rPr>
        <w:t>p</w:t>
      </w:r>
      <w:r w:rsidRPr="00B10324">
        <w:rPr>
          <w:rFonts w:ascii="Calibri" w:eastAsia="Arial" w:hAnsi="Calibri" w:cs="Calibr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B10324">
        <w:rPr>
          <w:rFonts w:ascii="Calibri" w:eastAsia="Arial" w:hAnsi="Calibri" w:cs="Calibri"/>
          <w:sz w:val="24"/>
          <w:szCs w:val="24"/>
          <w:u w:val="single"/>
        </w:rPr>
        <w:t>wyłącznie:</w:t>
      </w:r>
      <w:r w:rsidRPr="00B10324">
        <w:rPr>
          <w:rFonts w:ascii="Calibri" w:eastAsia="Arial" w:hAnsi="Calibri" w:cs="Calibr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851" w:right="10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851" w:right="10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odbiór zakończy się podpisaniem </w:t>
      </w:r>
      <w:r w:rsidRPr="00B10324">
        <w:rPr>
          <w:rFonts w:ascii="Calibri" w:eastAsia="Arial" w:hAnsi="Calibri" w:cs="Calibri"/>
          <w:sz w:val="24"/>
          <w:szCs w:val="24"/>
          <w:u w:val="single"/>
        </w:rPr>
        <w:t>bezusterkowego protokołu odbioru, po kompleksowej</w:t>
      </w:r>
      <w:r w:rsidRPr="00B10324">
        <w:rPr>
          <w:rFonts w:ascii="Calibri" w:eastAsia="Arial" w:hAnsi="Calibri" w:cs="Calibri"/>
          <w:sz w:val="24"/>
          <w:szCs w:val="24"/>
        </w:rPr>
        <w:t xml:space="preserve"> </w:t>
      </w:r>
      <w:r w:rsidRPr="00B10324">
        <w:rPr>
          <w:rFonts w:ascii="Calibri" w:eastAsia="Arial" w:hAnsi="Calibri" w:cs="Calibri"/>
          <w:sz w:val="24"/>
          <w:szCs w:val="24"/>
          <w:u w:val="single"/>
        </w:rPr>
        <w:t>realizacji przedmiotu zamówienia</w:t>
      </w:r>
      <w:r w:rsidRPr="00B10324">
        <w:rPr>
          <w:rFonts w:ascii="Calibri" w:eastAsia="Arial" w:hAnsi="Calibri" w:cs="Calibri"/>
          <w:sz w:val="24"/>
          <w:szCs w:val="24"/>
        </w:rPr>
        <w:t>. Ważność protokołu odbioru potwierdzą łącznie podpisy trzech osób:</w:t>
      </w:r>
    </w:p>
    <w:p w:rsidR="00B10324" w:rsidRPr="00B10324" w:rsidRDefault="00B10324" w:rsidP="00B1032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100" w:hanging="425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wykonawcy (lub przedstawiciela Wykonawcy) przedmiotu zamówienia,</w:t>
      </w:r>
    </w:p>
    <w:p w:rsidR="00B10324" w:rsidRPr="00B10324" w:rsidRDefault="00B10324" w:rsidP="00B1032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100" w:hanging="425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bezpośredniego Użytkownika (lub osoby upoważnionej) przedmiotu zamówienia,</w:t>
      </w:r>
    </w:p>
    <w:p w:rsidR="00B10324" w:rsidRPr="00B10324" w:rsidRDefault="00B10324" w:rsidP="00B10324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276" w:right="100" w:hanging="425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 xml:space="preserve">osoby odpowiedzialnej (lub upoważnionej) za realizację przedmiotu zamówienia </w:t>
      </w:r>
      <w:r w:rsidRPr="00B10324">
        <w:rPr>
          <w:rFonts w:ascii="Calibri" w:eastAsia="Arial" w:hAnsi="Calibri" w:cs="Calibri"/>
          <w:sz w:val="24"/>
          <w:szCs w:val="24"/>
        </w:rPr>
        <w:br/>
        <w:t>z Działu Zaopatrzenia UMB;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851" w:right="10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protokół odbioru będzie sporządzony w 2 egzemplarzach,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851" w:right="10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:rsidR="00B10324" w:rsidRPr="00B10324" w:rsidRDefault="00B10324" w:rsidP="00B10324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1276" w:right="10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instrukcję stanowiskową / instrukcje obsługi urządzenia;</w:t>
      </w:r>
    </w:p>
    <w:p w:rsidR="00B10324" w:rsidRPr="00B10324" w:rsidRDefault="00B10324" w:rsidP="00B10324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1276" w:right="10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kartę gwarancyjną;</w:t>
      </w:r>
    </w:p>
    <w:p w:rsidR="00B10324" w:rsidRPr="00B10324" w:rsidRDefault="00B10324" w:rsidP="00B10324">
      <w:pPr>
        <w:widowControl w:val="0"/>
        <w:numPr>
          <w:ilvl w:val="1"/>
          <w:numId w:val="2"/>
        </w:numPr>
        <w:autoSpaceDE w:val="0"/>
        <w:autoSpaceDN w:val="0"/>
        <w:spacing w:after="240" w:line="360" w:lineRule="auto"/>
        <w:ind w:left="851" w:right="100"/>
        <w:rPr>
          <w:rFonts w:ascii="Calibri" w:eastAsia="Arial" w:hAnsi="Calibri" w:cs="Calibri"/>
          <w:sz w:val="24"/>
          <w:szCs w:val="24"/>
        </w:rPr>
      </w:pPr>
      <w:r w:rsidRPr="00B10324">
        <w:rPr>
          <w:rFonts w:ascii="Calibri" w:eastAsia="Arial" w:hAnsi="Calibri" w:cs="Calibri"/>
          <w:sz w:val="24"/>
          <w:szCs w:val="24"/>
        </w:rPr>
        <w:t>z chwilą podpisania protokołu odbioru na Zamawiającego przechodzi ryzyko utraty lub uszkodzenia urządzenia.</w:t>
      </w:r>
    </w:p>
    <w:p w:rsidR="00B10324" w:rsidRPr="00B10324" w:rsidRDefault="00B10324" w:rsidP="00B10324">
      <w:pPr>
        <w:widowControl w:val="0"/>
        <w:tabs>
          <w:tab w:val="right" w:leader="dot" w:pos="9639"/>
        </w:tabs>
        <w:autoSpaceDE w:val="0"/>
        <w:autoSpaceDN w:val="0"/>
        <w:spacing w:after="0" w:line="360" w:lineRule="auto"/>
        <w:ind w:right="420"/>
        <w:rPr>
          <w:rFonts w:ascii="Calibri" w:eastAsia="Arial" w:hAnsi="Calibri" w:cs="Calibri"/>
          <w:i/>
          <w:color w:val="0070C0"/>
          <w:sz w:val="24"/>
          <w:szCs w:val="24"/>
        </w:rPr>
      </w:pPr>
      <w:r w:rsidRPr="00B10324">
        <w:rPr>
          <w:rFonts w:ascii="Calibri" w:eastAsia="Arial" w:hAnsi="Calibri" w:cs="Calibri"/>
          <w:b/>
          <w:sz w:val="24"/>
          <w:szCs w:val="24"/>
        </w:rPr>
        <w:t xml:space="preserve">Kwalifikowany podpis elektroniczny Wykonawcy: </w:t>
      </w:r>
      <w:r w:rsidRPr="00B10324">
        <w:rPr>
          <w:rFonts w:ascii="Calibri" w:eastAsia="Arial" w:hAnsi="Calibri" w:cs="Calibri"/>
          <w:b/>
          <w:sz w:val="24"/>
          <w:szCs w:val="24"/>
        </w:rPr>
        <w:tab/>
      </w:r>
    </w:p>
    <w:p w:rsidR="00223366" w:rsidRDefault="00223366"/>
    <w:sectPr w:rsidR="00223366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96" w:rsidRDefault="00825996" w:rsidP="00B10324">
      <w:pPr>
        <w:spacing w:after="0" w:line="240" w:lineRule="auto"/>
      </w:pPr>
      <w:r>
        <w:separator/>
      </w:r>
    </w:p>
  </w:endnote>
  <w:endnote w:type="continuationSeparator" w:id="0">
    <w:p w:rsidR="00825996" w:rsidRDefault="00825996" w:rsidP="00B1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24" w:rsidRPr="008A4412" w:rsidRDefault="00B10324" w:rsidP="008A4412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:rsidR="00B10324" w:rsidRPr="008A4412" w:rsidRDefault="00B10324" w:rsidP="008A4412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:rsidR="00B10324" w:rsidRDefault="00B103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96" w:rsidRDefault="00825996" w:rsidP="00B10324">
      <w:pPr>
        <w:spacing w:after="0" w:line="240" w:lineRule="auto"/>
      </w:pPr>
      <w:r>
        <w:separator/>
      </w:r>
    </w:p>
  </w:footnote>
  <w:footnote w:type="continuationSeparator" w:id="0">
    <w:p w:rsidR="00825996" w:rsidRDefault="00825996" w:rsidP="00B10324">
      <w:pPr>
        <w:spacing w:after="0" w:line="240" w:lineRule="auto"/>
      </w:pPr>
      <w:r>
        <w:continuationSeparator/>
      </w:r>
    </w:p>
  </w:footnote>
  <w:footnote w:id="1">
    <w:p w:rsidR="00B10324" w:rsidRDefault="00B10324" w:rsidP="00B10324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24" w:rsidRDefault="00B10324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2F3232A" wp14:editId="6498C039">
          <wp:extent cx="5771515" cy="5334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51CDD"/>
    <w:multiLevelType w:val="hybridMultilevel"/>
    <w:tmpl w:val="7E2E0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7B81"/>
    <w:multiLevelType w:val="hybridMultilevel"/>
    <w:tmpl w:val="ED265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0631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53FEB"/>
    <w:multiLevelType w:val="hybridMultilevel"/>
    <w:tmpl w:val="84EE2C86"/>
    <w:lvl w:ilvl="0" w:tplc="8AF0A38C">
      <w:start w:val="1"/>
      <w:numFmt w:val="decimal"/>
      <w:pStyle w:val="Nagwek21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24"/>
    <w:rsid w:val="00223366"/>
    <w:rsid w:val="002E3836"/>
    <w:rsid w:val="00645B24"/>
    <w:rsid w:val="006A4490"/>
    <w:rsid w:val="00825996"/>
    <w:rsid w:val="00980B85"/>
    <w:rsid w:val="00A12215"/>
    <w:rsid w:val="00B10324"/>
    <w:rsid w:val="00F3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80B85"/>
    <w:pPr>
      <w:widowControl w:val="0"/>
      <w:tabs>
        <w:tab w:val="right" w:leader="dot" w:pos="9639"/>
      </w:tabs>
      <w:autoSpaceDE w:val="0"/>
      <w:autoSpaceDN w:val="0"/>
      <w:spacing w:before="217" w:after="0" w:line="360" w:lineRule="auto"/>
      <w:ind w:left="426" w:right="352" w:hanging="360"/>
      <w:contextualSpacing w:val="0"/>
      <w:outlineLvl w:val="1"/>
    </w:pPr>
    <w:rPr>
      <w:rFonts w:eastAsia="Arial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Akapitzlist"/>
    <w:next w:val="Normalny"/>
    <w:uiPriority w:val="9"/>
    <w:unhideWhenUsed/>
    <w:qFormat/>
    <w:rsid w:val="00B10324"/>
    <w:pPr>
      <w:widowControl w:val="0"/>
      <w:numPr>
        <w:numId w:val="2"/>
      </w:numPr>
      <w:tabs>
        <w:tab w:val="right" w:leader="dot" w:pos="9639"/>
      </w:tabs>
      <w:autoSpaceDE w:val="0"/>
      <w:autoSpaceDN w:val="0"/>
      <w:spacing w:before="217" w:after="0" w:line="360" w:lineRule="auto"/>
      <w:ind w:left="426" w:right="352"/>
      <w:contextualSpacing w:val="0"/>
      <w:outlineLvl w:val="1"/>
    </w:pPr>
    <w:rPr>
      <w:rFonts w:eastAsia="Arial" w:cs="Calibri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032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B1032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1032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B10324"/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3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324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03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03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3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80B85"/>
    <w:rPr>
      <w:rFonts w:eastAsia="Arial" w:cstheme="minorHAns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80B85"/>
    <w:pPr>
      <w:widowControl w:val="0"/>
      <w:tabs>
        <w:tab w:val="right" w:leader="dot" w:pos="9639"/>
      </w:tabs>
      <w:autoSpaceDE w:val="0"/>
      <w:autoSpaceDN w:val="0"/>
      <w:spacing w:before="217" w:after="0" w:line="360" w:lineRule="auto"/>
      <w:ind w:left="426" w:right="352" w:hanging="360"/>
      <w:contextualSpacing w:val="0"/>
      <w:outlineLvl w:val="1"/>
    </w:pPr>
    <w:rPr>
      <w:rFonts w:eastAsia="Arial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Akapitzlist"/>
    <w:next w:val="Normalny"/>
    <w:uiPriority w:val="9"/>
    <w:unhideWhenUsed/>
    <w:qFormat/>
    <w:rsid w:val="00B10324"/>
    <w:pPr>
      <w:widowControl w:val="0"/>
      <w:numPr>
        <w:numId w:val="2"/>
      </w:numPr>
      <w:tabs>
        <w:tab w:val="right" w:leader="dot" w:pos="9639"/>
      </w:tabs>
      <w:autoSpaceDE w:val="0"/>
      <w:autoSpaceDN w:val="0"/>
      <w:spacing w:before="217" w:after="0" w:line="360" w:lineRule="auto"/>
      <w:ind w:left="426" w:right="352"/>
      <w:contextualSpacing w:val="0"/>
      <w:outlineLvl w:val="1"/>
    </w:pPr>
    <w:rPr>
      <w:rFonts w:eastAsia="Arial" w:cs="Calibri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032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B1032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1032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B10324"/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3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324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03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03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3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80B85"/>
    <w:rPr>
      <w:rFonts w:eastAsia="Arial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2655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Włodarczyk</dc:creator>
  <cp:lastModifiedBy>Katarzyna Włodarczyk</cp:lastModifiedBy>
  <cp:revision>3</cp:revision>
  <dcterms:created xsi:type="dcterms:W3CDTF">2022-11-14T13:34:00Z</dcterms:created>
  <dcterms:modified xsi:type="dcterms:W3CDTF">2022-11-14T13:51:00Z</dcterms:modified>
</cp:coreProperties>
</file>