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2148F5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dn.04</w:t>
      </w:r>
      <w:r w:rsidR="00067AE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9F5F0C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AG-DŁ-2240/</w:t>
      </w:r>
      <w:r w:rsidR="002148F5">
        <w:rPr>
          <w:rFonts w:ascii="Arial" w:hAnsi="Arial" w:cs="Arial"/>
          <w:bCs/>
          <w:sz w:val="20"/>
          <w:szCs w:val="20"/>
          <w:lang w:eastAsia="pl-PL"/>
        </w:rPr>
        <w:t>12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 w:rsidR="002148F5">
        <w:rPr>
          <w:rFonts w:ascii="Arial" w:hAnsi="Arial" w:cs="Arial"/>
          <w:bCs/>
          <w:sz w:val="20"/>
          <w:szCs w:val="20"/>
          <w:lang w:eastAsia="pl-PL"/>
        </w:rPr>
        <w:t>1</w:t>
      </w:r>
      <w:r>
        <w:rPr>
          <w:rFonts w:ascii="Arial" w:hAnsi="Arial" w:cs="Arial"/>
          <w:bCs/>
          <w:sz w:val="20"/>
          <w:szCs w:val="20"/>
          <w:lang w:eastAsia="pl-PL"/>
        </w:rPr>
        <w:t>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26EA7" w:rsidRPr="00B43DA6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24C2E" w:rsidRDefault="00724C2E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7F0970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DA6"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4C2E" w:rsidRDefault="00724C2E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2148F5">
        <w:rPr>
          <w:sz w:val="20"/>
          <w:szCs w:val="20"/>
        </w:rPr>
        <w:t>Sprzątania</w:t>
      </w:r>
      <w:r w:rsidR="002148F5" w:rsidRPr="0089024E">
        <w:rPr>
          <w:sz w:val="20"/>
          <w:szCs w:val="20"/>
        </w:rPr>
        <w:t xml:space="preserve"> obiektów Akademii Nauk Stosowanych im. Stanisław Staszica w Pile przy ul. Podchorążych 10 i ul. Żeromskiego 14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970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3DA6"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284 ust. 2 ustawy </w:t>
      </w:r>
      <w:r w:rsidRPr="00B43DA6">
        <w:rPr>
          <w:rFonts w:ascii="Arial" w:eastAsia="Calibri" w:hAnsi="Arial" w:cs="Arial"/>
          <w:sz w:val="20"/>
          <w:szCs w:val="20"/>
        </w:rPr>
        <w:br/>
        <w:t>z 11 września 2019 r. – Prawo zamówień publicznych (Dz.U. poz. 2019 ze zm.</w:t>
      </w:r>
      <w:r w:rsidR="007521D3">
        <w:rPr>
          <w:rFonts w:ascii="Arial" w:eastAsia="Calibri" w:hAnsi="Arial" w:cs="Arial"/>
          <w:sz w:val="20"/>
          <w:szCs w:val="20"/>
        </w:rPr>
        <w:t xml:space="preserve">) – dalej: ustawa </w:t>
      </w:r>
      <w:proofErr w:type="spellStart"/>
      <w:r w:rsidR="007521D3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7521D3">
        <w:rPr>
          <w:rFonts w:ascii="Arial" w:eastAsia="Calibri" w:hAnsi="Arial" w:cs="Arial"/>
          <w:sz w:val="20"/>
          <w:szCs w:val="20"/>
        </w:rPr>
        <w:t>, wykonawca zwrócił</w:t>
      </w:r>
      <w:r w:rsidRPr="00B43DA6">
        <w:rPr>
          <w:rFonts w:ascii="Arial" w:eastAsia="Calibri" w:hAnsi="Arial" w:cs="Arial"/>
          <w:sz w:val="20"/>
          <w:szCs w:val="20"/>
        </w:rPr>
        <w:t xml:space="preserve"> się do zamawiającego z wnioskiem o wyjaśnienie treści SWZ.</w:t>
      </w:r>
    </w:p>
    <w:p w:rsidR="006F0F01" w:rsidRPr="00B43DA6" w:rsidRDefault="006F0F01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Czy Zamawiający przewiduje możliwość zmiany treści umowy spowodowanej koniecznością waloryzacji cen w uzasadnionych przypadkach? W szczególności Wykonawca prosi o potwierdzenie czy będzie stanowić podstawę do złożenia wniosku o zmianę wynagrodzenia wystąpienie okoliczności niezależnych od Wykonawcy, w tym wynikających z decyzji organów władzy publicznej, określonych w art. 436 pkt 4 lit. b) oraz art. 439 ust. 1 PZP (zmiana stawki VAT, zmiana minimalnego wynagrodzenia za pracę/ minimalnej stawki godzinowej, zmiana zasad lub stawek ubezpieczenia społecznego/ zdrowotnego, zmiany w zakresie zasad gromadzenia i wysokości wpłat do pracowniczych planów kapitałowych, zmiany ceny materiałów lub kosztów związanych z realizacją zamówienia)? </w:t>
      </w:r>
    </w:p>
    <w:p w:rsidR="002148F5" w:rsidRPr="002148F5" w:rsidRDefault="002148F5" w:rsidP="002148F5">
      <w:pPr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Tak, szczegóły zostały zawarte w projekcie umowy w § 11.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Czy Zamawiający dopuszcza podwykonawstwa w obszarze całości przedmiotowego postępowania?</w:t>
      </w:r>
    </w:p>
    <w:p w:rsidR="002148F5" w:rsidRPr="002148F5" w:rsidRDefault="002148F5" w:rsidP="002148F5">
      <w:pPr>
        <w:pStyle w:val="Nagwek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2148F5">
        <w:rPr>
          <w:rFonts w:ascii="Arial" w:hAnsi="Arial" w:cs="Arial"/>
          <w:b w:val="0"/>
          <w:sz w:val="20"/>
          <w:szCs w:val="20"/>
        </w:rPr>
        <w:t xml:space="preserve">Odpowiedź: Nie, zgodnie z przepisami PZP </w:t>
      </w:r>
      <w:r w:rsidRPr="002148F5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art. 462 ust. 1 </w:t>
      </w:r>
      <w:r w:rsidRPr="002148F5">
        <w:rPr>
          <w:rFonts w:ascii="Arial" w:hAnsi="Arial" w:cs="Arial"/>
          <w:b w:val="0"/>
          <w:color w:val="222222"/>
          <w:sz w:val="20"/>
          <w:szCs w:val="20"/>
        </w:rPr>
        <w:t>Wykonawca może powierzyć wykonanie części zamówienia podwykonawcy.</w:t>
      </w:r>
    </w:p>
    <w:p w:rsidR="002148F5" w:rsidRPr="002148F5" w:rsidRDefault="002148F5" w:rsidP="002148F5">
      <w:pPr>
        <w:rPr>
          <w:rFonts w:ascii="Arial" w:hAnsi="Arial" w:cs="Arial"/>
          <w:sz w:val="20"/>
          <w:szCs w:val="20"/>
        </w:rPr>
      </w:pP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W jaki sposób Zamawiający oszacował powierzchnię podlegającą sprzątaniu oraz sporządził harmonogram sprzątania, w szczególności czy określone w niniejszym postępowaniu powierzchnie sprzątania i harmonogram sprzątania wykazują różnice w stosunku do określonych w aktualnie realizowanym zamówieniu (poprzednim postępowaniu w tym samym przedmiocie), względnie- czy zachodzą inne istotne różnice w stosunku do usługi, której wykonawca został wybrany w poprzednim postępowaniu? </w:t>
      </w:r>
    </w:p>
    <w:p w:rsidR="002148F5" w:rsidRPr="002148F5" w:rsidRDefault="002148F5" w:rsidP="002148F5">
      <w:pPr>
        <w:ind w:left="6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Powierzchnia została oszacowana na podstawie dokumentacji projektowej, a częstotliwość sprzątania według potrzeb zamawiającego. Wielkości te nie odbiegają od poprzedniego zamówienia.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Wykonawca prosi o udzielenie wyjaśnień w zakresie sposobu oszacowania przez Zamawiającego wartości przedmiotu zamówienia, poprzez wskazanie: 1) czy podstawą szacowania była wartość usługi świadczonej przez obecnego Wykonawcę, 2) prosimy o wskazanie, jaka była wartość (netto i brutto) faktur za realizację usługi przez obecnego wykonawcę wystawionych w okresie ostatnich 3 miesięcy? </w:t>
      </w:r>
    </w:p>
    <w:p w:rsidR="002148F5" w:rsidRDefault="002148F5" w:rsidP="002148F5">
      <w:pPr>
        <w:ind w:left="6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Odpowiedź: 1) Tak., 2) ANS – </w:t>
      </w:r>
      <w:r w:rsidR="00CD6CB2">
        <w:rPr>
          <w:rFonts w:ascii="Arial" w:hAnsi="Arial" w:cs="Arial"/>
          <w:sz w:val="20"/>
          <w:szCs w:val="20"/>
        </w:rPr>
        <w:t xml:space="preserve">56.315 zł netto </w:t>
      </w:r>
      <w:r w:rsidRPr="002148F5">
        <w:rPr>
          <w:rFonts w:ascii="Arial" w:hAnsi="Arial" w:cs="Arial"/>
          <w:sz w:val="20"/>
          <w:szCs w:val="20"/>
        </w:rPr>
        <w:t>69.26</w:t>
      </w:r>
      <w:r w:rsidR="00CD6CB2">
        <w:rPr>
          <w:rFonts w:ascii="Arial" w:hAnsi="Arial" w:cs="Arial"/>
          <w:sz w:val="20"/>
          <w:szCs w:val="20"/>
        </w:rPr>
        <w:t>7</w:t>
      </w:r>
      <w:r w:rsidRPr="002148F5">
        <w:rPr>
          <w:rFonts w:ascii="Arial" w:hAnsi="Arial" w:cs="Arial"/>
          <w:sz w:val="20"/>
          <w:szCs w:val="20"/>
        </w:rPr>
        <w:t xml:space="preserve"> zł</w:t>
      </w:r>
      <w:r w:rsidR="00CD6CB2">
        <w:rPr>
          <w:rFonts w:ascii="Arial" w:hAnsi="Arial" w:cs="Arial"/>
          <w:sz w:val="20"/>
          <w:szCs w:val="20"/>
        </w:rPr>
        <w:t xml:space="preserve"> brutto</w:t>
      </w:r>
      <w:r w:rsidRPr="002148F5">
        <w:rPr>
          <w:rFonts w:ascii="Arial" w:hAnsi="Arial" w:cs="Arial"/>
          <w:sz w:val="20"/>
          <w:szCs w:val="20"/>
        </w:rPr>
        <w:t xml:space="preserve"> , DS. – </w:t>
      </w:r>
      <w:r w:rsidR="00CD6CB2">
        <w:rPr>
          <w:rFonts w:ascii="Arial" w:hAnsi="Arial" w:cs="Arial"/>
          <w:sz w:val="20"/>
          <w:szCs w:val="20"/>
        </w:rPr>
        <w:t xml:space="preserve">8.417 zł netto </w:t>
      </w:r>
      <w:r w:rsidRPr="002148F5">
        <w:rPr>
          <w:rFonts w:ascii="Arial" w:hAnsi="Arial" w:cs="Arial"/>
          <w:sz w:val="20"/>
          <w:szCs w:val="20"/>
        </w:rPr>
        <w:t>10.35</w:t>
      </w:r>
      <w:r w:rsidR="00CD6CB2">
        <w:rPr>
          <w:rFonts w:ascii="Arial" w:hAnsi="Arial" w:cs="Arial"/>
          <w:sz w:val="20"/>
          <w:szCs w:val="20"/>
        </w:rPr>
        <w:t>3</w:t>
      </w:r>
      <w:r w:rsidRPr="002148F5">
        <w:rPr>
          <w:rFonts w:ascii="Arial" w:hAnsi="Arial" w:cs="Arial"/>
          <w:sz w:val="20"/>
          <w:szCs w:val="20"/>
        </w:rPr>
        <w:t xml:space="preserve"> zł</w:t>
      </w:r>
      <w:r w:rsidR="00CD6CB2">
        <w:rPr>
          <w:rFonts w:ascii="Arial" w:hAnsi="Arial" w:cs="Arial"/>
          <w:sz w:val="20"/>
          <w:szCs w:val="20"/>
        </w:rPr>
        <w:t xml:space="preserve"> brutto </w:t>
      </w:r>
    </w:p>
    <w:p w:rsidR="00815836" w:rsidRDefault="00815836" w:rsidP="002148F5">
      <w:pPr>
        <w:ind w:left="66"/>
        <w:jc w:val="both"/>
        <w:rPr>
          <w:rFonts w:ascii="Arial" w:hAnsi="Arial" w:cs="Arial"/>
          <w:sz w:val="20"/>
          <w:szCs w:val="20"/>
        </w:rPr>
      </w:pPr>
    </w:p>
    <w:p w:rsidR="00815836" w:rsidRPr="002148F5" w:rsidRDefault="00815836" w:rsidP="002148F5">
      <w:pPr>
        <w:ind w:left="66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lastRenderedPageBreak/>
        <w:t xml:space="preserve">Czy obecny Wykonawca (prosimy o podanie jego nazwy) został ukarany karą lub karami za nienależyte wykonanie przedmiotu umowy? Jeśli tak - prosimy o podanie wartości oraz ilości nałożonych kar? </w:t>
      </w:r>
    </w:p>
    <w:p w:rsidR="002148F5" w:rsidRPr="002148F5" w:rsidRDefault="002148F5" w:rsidP="002148F5">
      <w:pPr>
        <w:ind w:left="6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Odpowiedź: GDP </w:t>
      </w:r>
      <w:proofErr w:type="spellStart"/>
      <w:r w:rsidRPr="002148F5">
        <w:rPr>
          <w:rFonts w:ascii="Arial" w:hAnsi="Arial" w:cs="Arial"/>
          <w:sz w:val="20"/>
          <w:szCs w:val="20"/>
        </w:rPr>
        <w:t>Clean</w:t>
      </w:r>
      <w:proofErr w:type="spellEnd"/>
      <w:r w:rsidRPr="002148F5">
        <w:rPr>
          <w:rFonts w:ascii="Arial" w:hAnsi="Arial" w:cs="Arial"/>
          <w:sz w:val="20"/>
          <w:szCs w:val="20"/>
        </w:rPr>
        <w:t xml:space="preserve"> Partner Sp. z o. o – nie został ukarany karą. 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Czy obecny Wykonawca usługi otrzymuje należne wynagrodzenie w terminie zgodnym z umową? Jeśli Zamawiający regulował faktury z opóźnieniem to Wykonawca prosi o informację ile razy w ciągu trwania obecnej umowy taka sytuacja miała miejsce i jaki był okres opóźnienia?</w:t>
      </w:r>
    </w:p>
    <w:p w:rsidR="002148F5" w:rsidRPr="002148F5" w:rsidRDefault="002148F5" w:rsidP="002148F5">
      <w:pPr>
        <w:ind w:left="6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Płatności są regulowane zgodnie z umową.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Prosimy o informację, czy Zamawiający akceptuje wystawienie przez wykonawcę ustrukturyzowanych faktur korygujących oraz innych ustrukturyzowanych dokumentów elektronicznych, dotyczących wykonania umowy o przedmiotowe zamówienie publiczne oraz przesłanie tychże dokumentów za pośrednictwem Platformy Elektronicznego Fakturowania https://www.brokerinfinite.efaktura.gov.pl ? </w:t>
      </w:r>
    </w:p>
    <w:p w:rsidR="002148F5" w:rsidRPr="002148F5" w:rsidRDefault="002148F5" w:rsidP="002148F5">
      <w:pPr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Tak.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 xml:space="preserve">Zgodnie ze wzorem umowy, Zamawiający przewiduje kary umowne za nienależyte wykonywanie usługi. Czy Zamawiający, po analizie poniższych argumentów Wykonawcy, zmodyfikuje wysokość kar umownych? Wykonawca wnosi o zmianę o 50% wysokości kar, zastrzeżonych przez Zamawiającego. W doktrynie prawa zamówień publicznych oraz w aktualnym orzecznictwie Krajowej Izby Odwoławczej przy Prezesie Urzędu Zamówień Publicznych ustanawianie przez zamawiającego w umowie rażąco wysokich kar umownych uznać należy bezwzględnie za naruszenie zasad zachowania uczciwej konkurencji wyrażonej w przepisie art. 16 ust. 1 ustawy z dnia 11 września 2019 r. Prawo zamówień publicznych, które może być uzasadnioną podstawą do żądania unieważnienia postępowania o udzielenie zamówienia publicznego w trybie art. 255 ust. 6 ustawy prawo zamówień publicznych z uwagi, iż postępowanie jest obarczone wadą uniemożliwiającą zawarcie ważnej umowy w sprawie zamówienia publicznego. Stanowisko powyższe znajduje pełne potwierdzenie m.in. wyroku z dnia 23 sierpnia 2007 r. sygn. akt: UZP/ZO/0-1030/07. Zważyć bowiem należy, że kara umowna (odszkodowanie umowne) ze swojej istoty ma charakter wyłącznie odszkodowawczy i kompensacyjny, a nie zaś prewencyjny. Ustalenie przez Zamawiającego zbyt wygórowanych kar umownych dla wykonawców stanowi zatem bezspornie rażące naruszenie prawa w zakresie równości stron umowy, co w konsekwencji prowadzi do sprzeczności celu takiej umowy z zasadami współżycia społecznego i skutkować winno bezwzględną nieważność czynności prawnej na podstawie przepisu art. 3531 k.c. w związku z art. 58 § 1 k.c. </w:t>
      </w:r>
    </w:p>
    <w:p w:rsidR="002148F5" w:rsidRPr="002148F5" w:rsidRDefault="002148F5" w:rsidP="002148F5">
      <w:pPr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Zamawiający nie zmodyfikuje postanowień umownych w zakresie kar.</w:t>
      </w:r>
    </w:p>
    <w:p w:rsidR="002148F5" w:rsidRPr="002148F5" w:rsidRDefault="002148F5" w:rsidP="002148F5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Prosimy o potwierdzenie, że za pomiary elektryczne w pomieszczeniach przekazanych do użytkowania Wykonawcy w toku realizacji przedmiotowej usługi odpowiada Zamawiający.</w:t>
      </w:r>
    </w:p>
    <w:p w:rsidR="002148F5" w:rsidRPr="002148F5" w:rsidRDefault="002148F5" w:rsidP="002148F5">
      <w:pPr>
        <w:jc w:val="both"/>
        <w:rPr>
          <w:rFonts w:ascii="Arial" w:hAnsi="Arial" w:cs="Arial"/>
          <w:sz w:val="20"/>
          <w:szCs w:val="20"/>
        </w:rPr>
      </w:pPr>
      <w:r w:rsidRPr="002148F5">
        <w:rPr>
          <w:rFonts w:ascii="Arial" w:hAnsi="Arial" w:cs="Arial"/>
          <w:sz w:val="20"/>
          <w:szCs w:val="20"/>
        </w:rPr>
        <w:t>Odpowiedź: Tak.</w:t>
      </w:r>
    </w:p>
    <w:p w:rsidR="00E45078" w:rsidRPr="005035C9" w:rsidRDefault="00E45078" w:rsidP="005035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Wyjaśnienia zostają dołączone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i stanowią jej integralną część. </w:t>
      </w:r>
      <w:r w:rsidR="00FE05DD">
        <w:rPr>
          <w:rFonts w:ascii="Arial" w:hAnsi="Arial" w:cs="Arial"/>
          <w:sz w:val="20"/>
          <w:szCs w:val="20"/>
        </w:rPr>
        <w:t xml:space="preserve"> 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2CE3"/>
    <w:multiLevelType w:val="hybridMultilevel"/>
    <w:tmpl w:val="9A36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A4B"/>
    <w:multiLevelType w:val="hybridMultilevel"/>
    <w:tmpl w:val="FDE8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148F5"/>
    <w:rsid w:val="00252FEF"/>
    <w:rsid w:val="00260D50"/>
    <w:rsid w:val="002C053D"/>
    <w:rsid w:val="002C6DCC"/>
    <w:rsid w:val="00365297"/>
    <w:rsid w:val="00443E7C"/>
    <w:rsid w:val="00466463"/>
    <w:rsid w:val="00474C7F"/>
    <w:rsid w:val="004926E7"/>
    <w:rsid w:val="004B1CF4"/>
    <w:rsid w:val="004B67FF"/>
    <w:rsid w:val="005035C9"/>
    <w:rsid w:val="005B5651"/>
    <w:rsid w:val="006F0F01"/>
    <w:rsid w:val="00724C2E"/>
    <w:rsid w:val="007507ED"/>
    <w:rsid w:val="007521D3"/>
    <w:rsid w:val="0076381A"/>
    <w:rsid w:val="007F0970"/>
    <w:rsid w:val="007F2FB4"/>
    <w:rsid w:val="00815836"/>
    <w:rsid w:val="00887F4D"/>
    <w:rsid w:val="00995315"/>
    <w:rsid w:val="009D521D"/>
    <w:rsid w:val="009F5F0C"/>
    <w:rsid w:val="00A339C7"/>
    <w:rsid w:val="00AA369C"/>
    <w:rsid w:val="00B47E0D"/>
    <w:rsid w:val="00B62807"/>
    <w:rsid w:val="00BB4E07"/>
    <w:rsid w:val="00BC65D3"/>
    <w:rsid w:val="00CD6CB2"/>
    <w:rsid w:val="00DC5D2C"/>
    <w:rsid w:val="00DD184E"/>
    <w:rsid w:val="00DD3607"/>
    <w:rsid w:val="00E243EF"/>
    <w:rsid w:val="00E45078"/>
    <w:rsid w:val="00F52F04"/>
    <w:rsid w:val="00F75558"/>
    <w:rsid w:val="00FD069E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046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48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39</cp:revision>
  <cp:lastPrinted>2022-05-30T10:56:00Z</cp:lastPrinted>
  <dcterms:created xsi:type="dcterms:W3CDTF">2022-05-23T09:57:00Z</dcterms:created>
  <dcterms:modified xsi:type="dcterms:W3CDTF">2023-07-04T07:35:00Z</dcterms:modified>
</cp:coreProperties>
</file>