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</w:pPr>
      <w:bookmarkStart w:id="0" w:name="bookmark20"/>
    </w:p>
    <w:p w:rsidR="00A32ABC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</w:pPr>
      <w:r>
        <w:t>Szczegółowy opis przedmiotu zamówienia dla Części I – defibrylatory</w:t>
      </w:r>
      <w:bookmarkEnd w:id="0"/>
    </w:p>
    <w:p w:rsidR="00A32ABC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</w:pPr>
      <w:r>
        <w:t>Marka, typ, nazwa handlowa oferowanego przedmiotu zamówienia (należy wskazać)</w:t>
      </w:r>
    </w:p>
    <w:p w:rsidR="00A32ABC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</w:pPr>
      <w:r>
        <w:t xml:space="preserve">         ………………………………………………………………………………………………………………………………………………………</w:t>
      </w:r>
    </w:p>
    <w:p w:rsidR="00A32ABC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</w:pPr>
      <w:bookmarkStart w:id="1" w:name="bookmark21"/>
      <w:bookmarkStart w:id="2" w:name="_GoBack"/>
      <w:bookmarkEnd w:id="2"/>
    </w:p>
    <w:p w:rsidR="00A32ABC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</w:pPr>
    </w:p>
    <w:p w:rsidR="00A32ABC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</w:pPr>
      <w:r>
        <w:t>Wymagane i oferowane parametry techniczne</w:t>
      </w:r>
      <w:bookmarkEnd w:id="1"/>
    </w:p>
    <w:p w:rsidR="00A32ABC" w:rsidRPr="00B71594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</w:rPr>
      </w:pPr>
    </w:p>
    <w:p w:rsidR="00A32ABC" w:rsidRPr="00B71594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u w:val="single"/>
        </w:rPr>
      </w:pPr>
      <w:r w:rsidRPr="00B71594">
        <w:rPr>
          <w:u w:val="single"/>
        </w:rPr>
        <w:t>Instrukcja wypełnienia:</w:t>
      </w:r>
    </w:p>
    <w:p w:rsidR="00A32ABC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</w:pPr>
      <w:r>
        <w:t xml:space="preserve">W kolumnie </w:t>
      </w:r>
      <w:r>
        <w:rPr>
          <w:rStyle w:val="Bodytext2Bold"/>
        </w:rPr>
        <w:t xml:space="preserve">„Parametry oferowane” </w:t>
      </w:r>
      <w:r>
        <w:t>w miejscach wykropkowanych należy wpisać (skonkretyzować) parametry oferowanego defibrylatora, natomiast w kolumnie „</w:t>
      </w:r>
      <w:r w:rsidRPr="001B0296">
        <w:rPr>
          <w:b/>
        </w:rPr>
        <w:t>TAK/NIE</w:t>
      </w:r>
      <w:r>
        <w:t>” należy wpisać jedną z podanych odpowiedzi.</w:t>
      </w:r>
    </w:p>
    <w:p w:rsidR="00A32ABC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</w:pPr>
    </w:p>
    <w:p w:rsidR="00A32ABC" w:rsidRPr="00773700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5AB84D3" wp14:editId="20134FB9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0C6D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FE6211C" wp14:editId="5A90EBCA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6A11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Wszystkie pozycje w kolumnie „Parametry wymagane” określają parametry wymagane przez Zamawiającego, zatem </w:t>
      </w:r>
      <w:r w:rsidRPr="00773700">
        <w:rPr>
          <w:rStyle w:val="Tablecaption"/>
        </w:rPr>
        <w:t>zaznaczenie odpowiedzi ,,nie” lub nieuzupełnienie wykropkowanych miejsc będzie skutkowało uznaniem, że oferta nie odpowiada wymaganiom Zamawiającego, a tym samym zostanie odrzucona.</w:t>
      </w:r>
    </w:p>
    <w:p w:rsid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2ABC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:rsidR="00A32ABC" w:rsidRPr="00A32ABC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2ABC">
        <w:rPr>
          <w:rFonts w:asciiTheme="minorHAnsi" w:hAnsiTheme="minorHAnsi" w:cstheme="minorHAnsi"/>
          <w:b/>
          <w:sz w:val="20"/>
          <w:szCs w:val="20"/>
        </w:rPr>
        <w:t>defibrylatorów z możliwością transmisji danych medycznych.</w:t>
      </w:r>
    </w:p>
    <w:p w:rsidR="00A32ABC" w:rsidRPr="00A32ABC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2AB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26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583"/>
        <w:gridCol w:w="2174"/>
        <w:gridCol w:w="2989"/>
      </w:tblGrid>
      <w:tr w:rsidR="00A32ABC" w:rsidRPr="00A32ABC" w:rsidTr="00A32ABC">
        <w:trPr>
          <w:trHeight w:val="1096"/>
        </w:trPr>
        <w:tc>
          <w:tcPr>
            <w:tcW w:w="517" w:type="dxa"/>
            <w:tcBorders>
              <w:bottom w:val="single" w:sz="8" w:space="0" w:color="auto"/>
            </w:tcBorders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583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:rsidR="00A32ABC" w:rsidRPr="00A32ABC" w:rsidRDefault="00A32ABC" w:rsidP="00A32AB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A32ABC" w:rsidRPr="00A32ABC" w:rsidTr="00A32ABC">
        <w:trPr>
          <w:trHeight w:val="879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168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Przenośny, transportowy, stosowany przez zespoły ratownictwa medycznego, wraz z torbą transportową</w:t>
            </w: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 z wbudowanym uchwytem transportowym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855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Zasilanie akumulatorowe z baterii bez efektu pamięci.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9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Minimum 3 sztuki akumulatorów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879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Ładowanie akumulatorów z sieci 230V AC i 12V DC  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939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Ładowarka minimum dwustanowiskowa zasilana z sieci 230V AC i 12V DC lub integralna (wbudowana) ładowarka akumulatorów, umożliwiająca ładowanie akumulatorów w aparacie bezpośrednio z instalacji elektrycznej ambulansu, pod warunkiem zaoferowania  zewnętrznej ładowarki minimum dwustanowiskowej zasilanej z sieci 230V AC i 12V DC (o której mowa wyżej) kompatybilnej z akumulatorami, o których mowa w pkt 4.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9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Czas pracy urządzenia na jednym akumulatorze – min. 120 minut monitorowania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9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Ciężar defibrylatora z bateriami poniżej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32ABC">
                <w:rPr>
                  <w:rFonts w:asciiTheme="minorHAnsi" w:hAnsiTheme="minorHAnsi" w:cstheme="minorHAnsi"/>
                  <w:sz w:val="20"/>
                  <w:szCs w:val="20"/>
                </w:rPr>
                <w:t>10 kg</w:t>
              </w:r>
            </w:smartTag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57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Codzienny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autotest</w:t>
            </w:r>
            <w:proofErr w:type="spellEnd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bez udziału użytkownika, bez konieczności włączania urządzenia lub automatyczny test sprawności przeprowadzony bezpośrednio po włączeniu aparatu oraz okresowo w czasie jego pracy.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66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Defibrylacja synchroniczna i asynchroniczna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66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Defibrylacja w trybie ręcznym i AED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9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Dwufazowa fala defibrylacji w zakresie energii minimum 5 - 360 J w trybie normalnym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812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Dostępne poziomy energii defibrylacji – minimum 15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Automatyczna regulacja parametrów defibrylacji z uwzględnieniem impedancji pacjenta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Defibrylacja przez łyżki twarde i elektrody naklejane, widoczne w RTG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W wyposażeniu komplet łyżek umożliwiających defibrylację dorosłych i dzieci oraz min. 2 komplety elektrod naklejanych wraz z niezbędnym okablowaniem do monitorowania i elektroterapii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Łyżki twarde z regulacją energii defibrylacji, posiadające przycisk umożliwiający drukowanie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Stymulacja przezskórna w trybie sztywnym i na żądanie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Częstość stymulacji min. 40-170 impulsów/minutę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Regulacja prądu stymulacji min. 0-200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lub regulacja prądu stymulacji w zakresie 0-140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ze skokiem regulacji 2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Odczyt 3 i 12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EKG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Automatyczna interpretacja 12-odprow. badania EKG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Alarmy częstości akcji serca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Zakres pomiaru tętna od 20-300 u/min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Zakres wzmocnienia sygnału EKG min. od 0,5 do 3 cm/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Prezentacja zapisu EKG – minimum 3 kanały na ekranie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Ekran kolorowy o przekątnej minimum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32ABC">
                <w:rPr>
                  <w:rFonts w:asciiTheme="minorHAnsi" w:hAnsiTheme="minorHAnsi" w:cstheme="minorHAnsi"/>
                  <w:sz w:val="20"/>
                  <w:szCs w:val="20"/>
                </w:rPr>
                <w:t>5”</w:t>
              </w:r>
            </w:smartTag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Wydruk EKG na papierze o szerokości minimum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32ABC">
                <w:rPr>
                  <w:rFonts w:asciiTheme="minorHAnsi" w:hAnsiTheme="minorHAnsi" w:cstheme="minorHAnsi"/>
                  <w:sz w:val="20"/>
                  <w:szCs w:val="20"/>
                </w:rPr>
                <w:t>50 mm</w:t>
              </w:r>
            </w:smartTag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Kardiowersja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Saturacja (SpO2)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Czujnik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 do SpO2 dla dorosłych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Nieinwazyjny pomiar ciśnienia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Kapnometria etCO2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Pamięć wewnętrzna wszystkich rejestrowanych danych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4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Urządzenie posiada aplikację nadawczą umożliwiającą współpracę z tabletami  działającymi w środowisku Windows (XP, 7) stanowiącymi wyposażenie Zespołów Ratownictwa Medycznego województwa małopolskiego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412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Zainstalowana oraz uruchomiona na tabletach działających w środowisku Windows (XP, 7) stanowiących wyposażenie Zespołów Ratownictwa Medycznego województwa małopolskiego aplikacja nadawcza nie może przekroczyć 10% obciążenia procesora, jak również nie może wykorzystać więcej niż 10 MB pamięci operacyjnej</w:t>
            </w:r>
          </w:p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Sprawdzenia spełnienia w/w wymogów dokona Zamawiający Wspólnie w obecności Wykonawcy w systemie Windows (XP,7) w „Menadżerze zadań Windows” na tabletach, na których zainstalowana zostanie zaoferowana aplikacja nadawcza.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1758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Urządzenie posiada moduł Bluetooth umożliwiający współpracę z tabletami  działającymi w środowisku Windows (XP, 7) stanowiącymi wyposażenie Zespołów Ratownictwa Medycznego województwa małopolskiego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06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Urządzenie umożliwia transmisję danych medycznych  za pośrednictwem tabletu działającego w środowisku Windows (XP, 7) do SYSTEMU LIFENET, który dalej przesyła je do aplikacji odbiorczych znajdujących się w Pracowniach Hemodynamiki w województwie małopolskim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89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Moduł GSM 4G do teletransmisji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301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Torba transportowa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89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 xml:space="preserve">Wieszak </w:t>
            </w:r>
            <w:proofErr w:type="spellStart"/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karetkowy</w:t>
            </w:r>
            <w:proofErr w:type="spellEnd"/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54"/>
        </w:trPr>
        <w:tc>
          <w:tcPr>
            <w:tcW w:w="517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Wszystkie opisy pokręteł, przycisków funkcyjnych na </w:t>
            </w:r>
            <w:r w:rsidRPr="00A32ABC">
              <w:rPr>
                <w:rFonts w:asciiTheme="minorHAnsi" w:eastAsia="SimSun" w:hAnsiTheme="minorHAnsi" w:cstheme="minorHAnsi"/>
                <w:sz w:val="20"/>
              </w:rPr>
              <w:lastRenderedPageBreak/>
              <w:t xml:space="preserve">urządzeniu oraz komunikaty dźwiękowe, drukowane na wydruku i wyświetlane na ekranie w języku polskim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94"/>
        </w:trPr>
        <w:tc>
          <w:tcPr>
            <w:tcW w:w="517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:rsidR="00A32ABC" w:rsidRPr="00A32ABC" w:rsidRDefault="00A32ABC" w:rsidP="00A32ABC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54"/>
        </w:trPr>
        <w:tc>
          <w:tcPr>
            <w:tcW w:w="517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>Instrukcja obsługi w języku polskim wraz z dostawą  defibrylatorów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74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>Dostawa defibrylatorów do 60 dni od daty obowiązywania umowy.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77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>Szkolenie personelu w zakresie obsługi w siedzibie każdego Zamawiającego Wspólnie do 90 dni od daty obowiązywania umowy.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defibrylatorów oraz ich zdjęcie (fotografię)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A32ABC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uruchomionych defibrylatorów i przez cały okres licencji w przypadku aplikacji.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5-letnia licencja na aplikację </w:t>
            </w:r>
            <w:r w:rsidRPr="00A32ABC">
              <w:rPr>
                <w:rFonts w:asciiTheme="minorHAnsi" w:hAnsiTheme="minorHAnsi" w:cstheme="minorHAnsi"/>
                <w:sz w:val="20"/>
              </w:rPr>
              <w:t>wraz ze wszystkimi aktualizacjami dostępnymi w tym okresie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w zakresie defibrylatorów oraz w zakresie aplikacji maksymalnie do 24 godzin. 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Gwarantowany czas od  zgłoszenia usterki  do  jej  usunięcia w zakresie defibrylatorów maksymalnie do 5 dni roboczych, w zakresie aplikacji maksymalnie do 2 dni roboczych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540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hAnsiTheme="minorHAnsi" w:cstheme="minorHAnsi"/>
                <w:sz w:val="20"/>
              </w:rPr>
              <w:t>Wstawienie urządzenia zastępczego w przypadku naprawy  trwającej powyżej 5 dni roboczych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ABC" w:rsidRPr="00A32ABC" w:rsidTr="00A32ABC">
        <w:trPr>
          <w:trHeight w:val="271"/>
        </w:trPr>
        <w:tc>
          <w:tcPr>
            <w:tcW w:w="517" w:type="dxa"/>
          </w:tcPr>
          <w:p w:rsidR="00A32ABC" w:rsidRPr="00A32ABC" w:rsidRDefault="00A32ABC" w:rsidP="00A32ABC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</w:tcPr>
          <w:p w:rsidR="00A32ABC" w:rsidRPr="00A32ABC" w:rsidRDefault="00A32ABC" w:rsidP="00A32ABC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A32ABC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174" w:type="dxa"/>
          </w:tcPr>
          <w:p w:rsidR="00A32ABC" w:rsidRPr="00A32ABC" w:rsidRDefault="00A32ABC" w:rsidP="00A32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A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89" w:type="dxa"/>
          </w:tcPr>
          <w:p w:rsidR="00A32ABC" w:rsidRPr="00A32ABC" w:rsidRDefault="00A32ABC" w:rsidP="00A32A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2ABC" w:rsidRP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2ABC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A32ABC" w:rsidRDefault="00A32ABC" w:rsidP="00A32ABC">
      <w:pPr>
        <w:pStyle w:val="right"/>
        <w:spacing w:before="240" w:after="0" w:line="240" w:lineRule="auto"/>
        <w:rPr>
          <w:rFonts w:asciiTheme="minorHAnsi" w:hAnsiTheme="minorHAnsi" w:cstheme="minorHAnsi"/>
          <w:sz w:val="20"/>
          <w:szCs w:val="20"/>
        </w:rPr>
      </w:pPr>
      <w:r w:rsidRPr="00A32A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A32ABC" w:rsidRPr="00A32ABC" w:rsidRDefault="00A32ABC" w:rsidP="00A32ABC">
      <w:pPr>
        <w:pStyle w:val="right"/>
        <w:spacing w:line="240" w:lineRule="auto"/>
        <w:rPr>
          <w:rStyle w:val="bold"/>
          <w:rFonts w:asciiTheme="minorHAnsi" w:hAnsiTheme="minorHAnsi" w:cstheme="minorHAnsi"/>
          <w:sz w:val="20"/>
          <w:szCs w:val="20"/>
        </w:rPr>
      </w:pPr>
      <w:r w:rsidRPr="00A32ABC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A32ABC" w:rsidRPr="00A32ABC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7586D" w:rsidRPr="00A32ABC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A32ABC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34" w:rsidRDefault="00CA6934" w:rsidP="00A32ABC">
      <w:r>
        <w:separator/>
      </w:r>
    </w:p>
  </w:endnote>
  <w:endnote w:type="continuationSeparator" w:id="0">
    <w:p w:rsidR="00CA6934" w:rsidRDefault="00CA6934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Default="00B5125D" w:rsidP="00E97BF1">
    <w:r>
      <w:t xml:space="preserve">                                                        </w:t>
    </w:r>
  </w:p>
  <w:p w:rsidR="00375D8B" w:rsidRDefault="00CA6934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34" w:rsidRDefault="00CA6934" w:rsidP="00A32ABC">
      <w:r>
        <w:separator/>
      </w:r>
    </w:p>
  </w:footnote>
  <w:footnote w:type="continuationSeparator" w:id="0">
    <w:p w:rsidR="00CA6934" w:rsidRDefault="00CA6934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="00093B1D">
      <w:rPr>
        <w:rFonts w:asciiTheme="minorHAnsi" w:hAnsiTheme="minorHAnsi" w:cstheme="minorHAnsi"/>
        <w:i/>
        <w:sz w:val="22"/>
        <w:szCs w:val="22"/>
      </w:rPr>
      <w:t>Załącznik nr 1  ZP.271.2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93B1D"/>
    <w:rsid w:val="003B6C23"/>
    <w:rsid w:val="0047586D"/>
    <w:rsid w:val="00750130"/>
    <w:rsid w:val="00A32ABC"/>
    <w:rsid w:val="00B5125D"/>
    <w:rsid w:val="00CA6934"/>
    <w:rsid w:val="00DF1870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3</cp:revision>
  <dcterms:created xsi:type="dcterms:W3CDTF">2024-05-07T11:38:00Z</dcterms:created>
  <dcterms:modified xsi:type="dcterms:W3CDTF">2024-05-08T09:55:00Z</dcterms:modified>
</cp:coreProperties>
</file>