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E95D7B">
        <w:rPr>
          <w:rFonts w:ascii="Tahoma" w:hAnsi="Tahoma" w:cs="Tahoma"/>
          <w:bCs/>
          <w:iCs/>
        </w:rPr>
        <w:t>10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9E3424">
        <w:rPr>
          <w:rFonts w:ascii="Tahoma" w:hAnsi="Tahoma" w:cs="Tahoma"/>
          <w:bCs/>
          <w:iCs/>
        </w:rPr>
        <w:t>7</w:t>
      </w:r>
      <w:r w:rsidR="00D76BCC" w:rsidRPr="00967416">
        <w:rPr>
          <w:rFonts w:ascii="Tahoma" w:hAnsi="Tahoma" w:cs="Tahoma"/>
          <w:bCs/>
          <w:iCs/>
        </w:rPr>
        <w:t>.20</w:t>
      </w:r>
      <w:r w:rsidR="009E3424">
        <w:rPr>
          <w:rFonts w:ascii="Tahoma" w:hAnsi="Tahoma" w:cs="Tahoma"/>
          <w:bCs/>
          <w:iCs/>
        </w:rPr>
        <w:t>20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7A76DE">
        <w:rPr>
          <w:rFonts w:ascii="Tahoma" w:hAnsi="Tahoma" w:cs="Tahoma"/>
          <w:b w:val="0"/>
          <w:bCs w:val="0"/>
          <w:sz w:val="20"/>
          <w:szCs w:val="20"/>
        </w:rPr>
        <w:t>u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14127D">
        <w:rPr>
          <w:rFonts w:ascii="Tahoma" w:hAnsi="Tahoma" w:cs="Tahoma"/>
          <w:b w:val="0"/>
          <w:bCs w:val="0"/>
          <w:sz w:val="20"/>
          <w:szCs w:val="20"/>
        </w:rPr>
        <w:t>0</w:t>
      </w:r>
      <w:r w:rsidR="007A76DE">
        <w:rPr>
          <w:rFonts w:ascii="Tahoma" w:hAnsi="Tahoma" w:cs="Tahoma"/>
          <w:b w:val="0"/>
          <w:bCs w:val="0"/>
          <w:sz w:val="20"/>
          <w:szCs w:val="20"/>
        </w:rPr>
        <w:t>8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.0</w:t>
      </w:r>
      <w:r w:rsidR="0014127D">
        <w:rPr>
          <w:rFonts w:ascii="Tahoma" w:hAnsi="Tahoma" w:cs="Tahoma"/>
          <w:b w:val="0"/>
          <w:bCs w:val="0"/>
          <w:sz w:val="20"/>
          <w:szCs w:val="20"/>
        </w:rPr>
        <w:t>7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 xml:space="preserve">r.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6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9E3424">
        <w:rPr>
          <w:rFonts w:ascii="Tahoma" w:hAnsi="Tahoma" w:cs="Tahoma"/>
          <w:b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9E3424">
        <w:rPr>
          <w:rFonts w:ascii="Tahoma" w:hAnsi="Tahoma" w:cs="Tahoma"/>
          <w:b w:val="0"/>
          <w:sz w:val="20"/>
          <w:szCs w:val="20"/>
        </w:rPr>
        <w:t>843</w:t>
      </w:r>
      <w:r w:rsidR="00C00D82">
        <w:rPr>
          <w:rFonts w:ascii="Tahoma" w:hAnsi="Tahoma" w:cs="Tahoma"/>
          <w:b w:val="0"/>
          <w:sz w:val="20"/>
          <w:szCs w:val="20"/>
        </w:rPr>
        <w:t xml:space="preserve"> </w:t>
      </w:r>
      <w:r w:rsidR="00F76AC0" w:rsidRPr="00967416">
        <w:rPr>
          <w:rFonts w:ascii="Tahoma" w:hAnsi="Tahoma" w:cs="Tahoma"/>
          <w:b w:val="0"/>
          <w:sz w:val="20"/>
          <w:szCs w:val="20"/>
        </w:rPr>
        <w:t>z późn.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DB637C" w:rsidRDefault="00DB637C" w:rsidP="003A2A84"/>
    <w:p w:rsidR="00E95D7B" w:rsidRPr="00E95D7B" w:rsidRDefault="00E95D7B" w:rsidP="00E95D7B">
      <w:pPr>
        <w:spacing w:line="276" w:lineRule="auto"/>
        <w:jc w:val="both"/>
        <w:rPr>
          <w:rFonts w:ascii="Tahoma" w:eastAsia="Calibri" w:hAnsi="Tahoma" w:cs="Tahoma"/>
          <w:color w:val="000000"/>
          <w:u w:val="single"/>
          <w:lang w:eastAsia="en-US"/>
        </w:rPr>
      </w:pPr>
      <w:r w:rsidRPr="00E95D7B">
        <w:rPr>
          <w:rFonts w:ascii="Tahoma" w:hAnsi="Tahoma" w:cs="Tahoma"/>
          <w:bCs/>
          <w:u w:val="single"/>
          <w:lang w:eastAsia="en-US"/>
        </w:rPr>
        <w:t xml:space="preserve">Poniższe pytania dotyczą opisu przedmiotu zamówienia w Pakiecie nr 4 poz. 12 </w:t>
      </w:r>
      <w:r w:rsidRPr="00E95D7B">
        <w:rPr>
          <w:rFonts w:ascii="Tahoma" w:eastAsia="Calibri" w:hAnsi="Tahoma" w:cs="Tahoma"/>
          <w:color w:val="000000"/>
          <w:u w:val="single"/>
          <w:lang w:eastAsia="en-US"/>
        </w:rPr>
        <w:t>w przedmiotowym postępowaniu:</w:t>
      </w: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rPr>
          <w:rFonts w:ascii="Tahoma" w:eastAsia="Calibri" w:hAnsi="Tahoma" w:cs="Tahoma"/>
          <w:lang w:eastAsia="en-US"/>
        </w:rPr>
      </w:pPr>
      <w:r w:rsidRPr="00E95D7B">
        <w:rPr>
          <w:rFonts w:ascii="Tahoma" w:eastAsia="Calibri" w:hAnsi="Tahoma" w:cs="Tahoma"/>
          <w:lang w:eastAsia="en-US"/>
        </w:rPr>
        <w:t>Czy Zamawiający dopuści zaoferowanie produktu LactoDr, zawierającego żywe, liofilizowane kultury bakterii probiotycznych najlepiej przebadanego pod względem klinicznym szczepu Lactobacillus rhamnosus GG ATTC53103 w stężeniu 6 mld CFU/ kaps? Produkt konfekcjonowany w opakowaniach x 20 lub x 30 kapsułek (prosimy o możliwość przeliczenia na odpowiednią liczbę opakowań i zaokrąglenia uzyskanego wyniku w górę).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Zgodnie z SIWZ.</w:t>
      </w:r>
    </w:p>
    <w:p w:rsidR="00E95D7B" w:rsidRPr="00E95D7B" w:rsidRDefault="00E95D7B" w:rsidP="00E95D7B">
      <w:pPr>
        <w:spacing w:line="276" w:lineRule="auto"/>
        <w:ind w:left="720"/>
        <w:rPr>
          <w:rFonts w:ascii="Tahoma" w:eastAsia="Calibri" w:hAnsi="Tahoma" w:cs="Tahoma"/>
          <w:lang w:eastAsia="en-US"/>
        </w:rPr>
      </w:pP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rPr>
          <w:rFonts w:ascii="Tahoma" w:eastAsia="Calibri" w:hAnsi="Tahoma" w:cs="Tahoma"/>
          <w:lang w:eastAsia="en-US"/>
        </w:rPr>
      </w:pPr>
      <w:r w:rsidRPr="00E95D7B">
        <w:rPr>
          <w:rFonts w:ascii="Tahoma" w:eastAsia="Calibri" w:hAnsi="Tahoma" w:cs="Tahoma"/>
          <w:lang w:eastAsia="en-US"/>
        </w:rPr>
        <w:t>Czy Zamawiający dopuści zaoferowanie produktu Encapsa30Dr. zawierającego żywe, mikroenkapsulowane bakterie probiotyczne szczepu bakterii probiotycznych Lactobacillus rhamnosus GG ATTC53103 w stężeniu odpowiadającym 3 mld bakterii? Produkt konfekcjonowany w opakowaniach x 30 kapsułek (prosimy o możliwość przeliczenia na odpowiednią liczbę opakowań i zaokrąglenia uzyskanego wyniku w górę).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Zgodnie z SIWZ.</w:t>
      </w:r>
    </w:p>
    <w:p w:rsidR="00E95D7B" w:rsidRPr="00E95D7B" w:rsidRDefault="00E95D7B" w:rsidP="00E95D7B">
      <w:pPr>
        <w:spacing w:line="276" w:lineRule="auto"/>
        <w:ind w:left="360"/>
        <w:rPr>
          <w:rFonts w:ascii="Tahoma" w:eastAsia="Calibri" w:hAnsi="Tahoma" w:cs="Tahoma"/>
          <w:lang w:eastAsia="en-US"/>
        </w:rPr>
      </w:pP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rPr>
          <w:rFonts w:ascii="Tahoma" w:eastAsia="Calibri" w:hAnsi="Tahoma" w:cs="Tahoma"/>
          <w:lang w:eastAsia="en-US"/>
        </w:rPr>
      </w:pPr>
      <w:r w:rsidRPr="00E95D7B">
        <w:rPr>
          <w:rFonts w:ascii="Tahoma" w:eastAsia="Calibri" w:hAnsi="Tahoma" w:cs="Tahoma"/>
          <w:lang w:eastAsia="en-US"/>
        </w:rPr>
        <w:t>Czy Zamawiający wymaga zaoferowania preparatu zawierającego żywe kultury bakterii probiotycznych w postaci liofilizowanej?.</w:t>
      </w:r>
    </w:p>
    <w:p w:rsidR="00E95D7B" w:rsidRPr="00E95D7B" w:rsidRDefault="00E95D7B" w:rsidP="00E95D7B">
      <w:pPr>
        <w:ind w:firstLine="360"/>
        <w:jc w:val="both"/>
        <w:rPr>
          <w:rFonts w:ascii="Tahoma" w:hAnsi="Tahoma" w:cs="Tahoma"/>
          <w:u w:val="single"/>
        </w:rPr>
      </w:pPr>
      <w:bookmarkStart w:id="0" w:name="_Hlk45274670"/>
      <w:r w:rsidRPr="00E95D7B">
        <w:rPr>
          <w:rFonts w:ascii="Tahoma" w:hAnsi="Tahoma" w:cs="Tahoma"/>
          <w:u w:val="single"/>
        </w:rPr>
        <w:t xml:space="preserve">Odpowiedź: </w:t>
      </w:r>
      <w:r w:rsidRPr="00E95D7B">
        <w:rPr>
          <w:rFonts w:ascii="Tahoma" w:hAnsi="Tahoma" w:cs="Tahoma"/>
          <w:u w:val="single"/>
        </w:rPr>
        <w:t>Zamawiający dopuszcza</w:t>
      </w:r>
      <w:r w:rsidRPr="00E95D7B">
        <w:rPr>
          <w:rFonts w:ascii="Tahoma" w:hAnsi="Tahoma" w:cs="Tahoma"/>
          <w:u w:val="single"/>
        </w:rPr>
        <w:t>.</w:t>
      </w:r>
    </w:p>
    <w:bookmarkEnd w:id="0"/>
    <w:p w:rsidR="00E95D7B" w:rsidRPr="00E95D7B" w:rsidRDefault="00E95D7B" w:rsidP="00E95D7B">
      <w:pPr>
        <w:spacing w:line="276" w:lineRule="auto"/>
        <w:ind w:left="360"/>
        <w:rPr>
          <w:rFonts w:ascii="Tahoma" w:eastAsia="Calibri" w:hAnsi="Tahoma" w:cs="Tahoma"/>
          <w:lang w:eastAsia="en-US"/>
        </w:rPr>
      </w:pPr>
    </w:p>
    <w:p w:rsidR="00E95D7B" w:rsidRPr="00E95D7B" w:rsidRDefault="00E95D7B" w:rsidP="00E95D7B">
      <w:pPr>
        <w:spacing w:line="276" w:lineRule="auto"/>
        <w:jc w:val="both"/>
        <w:rPr>
          <w:rFonts w:ascii="Tahoma" w:eastAsia="Calibri" w:hAnsi="Tahoma" w:cs="Tahoma"/>
          <w:color w:val="000000"/>
          <w:u w:val="single"/>
          <w:lang w:eastAsia="en-US"/>
        </w:rPr>
      </w:pPr>
      <w:r w:rsidRPr="00E95D7B">
        <w:rPr>
          <w:rFonts w:ascii="Tahoma" w:hAnsi="Tahoma" w:cs="Tahoma"/>
          <w:bCs/>
          <w:u w:val="single"/>
          <w:lang w:eastAsia="en-US"/>
        </w:rPr>
        <w:t xml:space="preserve">Poniższe pytania dotyczą opisu przedmiotu zamówienia w Pakiecie nr 4 poz. 41 </w:t>
      </w:r>
      <w:r w:rsidRPr="00E95D7B">
        <w:rPr>
          <w:rFonts w:ascii="Tahoma" w:eastAsia="Calibri" w:hAnsi="Tahoma" w:cs="Tahoma"/>
          <w:color w:val="000000"/>
          <w:u w:val="single"/>
          <w:lang w:eastAsia="en-US"/>
        </w:rPr>
        <w:t>w przedmiotowym postępowaniu:</w:t>
      </w: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bookmarkStart w:id="1" w:name="_Hlk3361524"/>
      <w:r w:rsidRPr="00E95D7B">
        <w:rPr>
          <w:rFonts w:ascii="Tahoma" w:eastAsia="Calibri" w:hAnsi="Tahoma" w:cs="Tahoma"/>
          <w:color w:val="000000"/>
          <w:lang w:eastAsia="en-US"/>
        </w:rPr>
        <w:t>Czy Zamawiający wymaga, aby zaoferowane paski testowe posiadały standardowy zakres korekty hematokrytu, wynoszący co najmniej 20-60%? Informujemy , że paski z węższym zakresem (np. 35-60%) nie są przeznaczone do pomiaru glikemii m. in,. u dzieci poniżej 6. r. ż., niemowląt i kobiet w ciąży, gdyż fizjologiczne wartości HCT u takich pacjentów mogą być niższe niż 35%.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line="276" w:lineRule="auto"/>
        <w:ind w:left="720"/>
        <w:jc w:val="both"/>
        <w:rPr>
          <w:rFonts w:ascii="Tahoma" w:eastAsia="Calibri" w:hAnsi="Tahoma" w:cs="Tahoma"/>
          <w:color w:val="000000"/>
          <w:lang w:eastAsia="en-US"/>
        </w:rPr>
      </w:pP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E95D7B">
        <w:rPr>
          <w:rFonts w:ascii="Tahoma" w:eastAsia="Calibri" w:hAnsi="Tahoma" w:cs="Tahoma"/>
          <w:color w:val="000000"/>
          <w:lang w:eastAsia="en-US"/>
        </w:rPr>
        <w:t>Czy Zamawiający wymaga zaoferowania pasków do glukometrów z funkcją wyrzutu zużytego paska za pomocą przycisku (taka funkcja eliminuje kontakt personelu z krwią pacjentów przy każdym wyjmowaniu zużytego paska z glukometru, zabezpieczając przed transmisją zakażeń drogą krwi)?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line="276" w:lineRule="auto"/>
        <w:ind w:left="360"/>
        <w:jc w:val="both"/>
        <w:rPr>
          <w:rFonts w:ascii="Tahoma" w:eastAsia="Calibri" w:hAnsi="Tahoma" w:cs="Tahoma"/>
          <w:color w:val="000000"/>
          <w:lang w:eastAsia="en-US"/>
        </w:rPr>
      </w:pPr>
    </w:p>
    <w:p w:rsidR="00E95D7B" w:rsidRPr="00E95D7B" w:rsidRDefault="00E95D7B" w:rsidP="00E95D7B">
      <w:pPr>
        <w:numPr>
          <w:ilvl w:val="0"/>
          <w:numId w:val="23"/>
        </w:numPr>
        <w:spacing w:line="276" w:lineRule="auto"/>
        <w:jc w:val="both"/>
        <w:rPr>
          <w:rFonts w:ascii="Tahoma" w:eastAsia="Calibri" w:hAnsi="Tahoma" w:cs="Tahoma"/>
          <w:bCs/>
          <w:color w:val="000000"/>
          <w:lang w:eastAsia="en-US"/>
        </w:rPr>
      </w:pPr>
      <w:r w:rsidRPr="00E95D7B">
        <w:rPr>
          <w:rFonts w:ascii="Tahoma" w:eastAsia="Calibri" w:hAnsi="Tahoma" w:cs="Tahoma"/>
          <w:color w:val="000000"/>
          <w:lang w:eastAsia="en-US"/>
        </w:rPr>
        <w:t xml:space="preserve">Czy Zamawiający wymaga, aby zaoferowane paski testowe do glukometrów były wyrobem medycznym refundowanym? </w:t>
      </w:r>
      <w:r w:rsidRPr="00E95D7B">
        <w:rPr>
          <w:rFonts w:ascii="Tahoma" w:eastAsia="Calibri" w:hAnsi="Tahoma" w:cs="Tahoma"/>
          <w:bCs/>
          <w:color w:val="000000"/>
          <w:lang w:eastAsia="en-US"/>
        </w:rPr>
        <w:t>Refundacja pasków testowych oznacza nadzór na szczeblu urzędowym nad materiałami informacyjnymi dostarczanymi wraz z paskami, co zmniejsza prawdopodobieństwo publikowania materiałów wprowadzających użytkownika w błąd.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line="276" w:lineRule="auto"/>
        <w:ind w:left="360"/>
        <w:jc w:val="both"/>
        <w:rPr>
          <w:rFonts w:ascii="Tahoma" w:eastAsia="Calibri" w:hAnsi="Tahoma" w:cs="Tahoma"/>
          <w:bCs/>
          <w:color w:val="000000"/>
          <w:lang w:eastAsia="en-US"/>
        </w:rPr>
      </w:pPr>
    </w:p>
    <w:bookmarkEnd w:id="1"/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pytanie do postępowania nr DZP 2374/6/2020 (pakiet nr 4,  pozycja nr 41):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 xml:space="preserve">1)      Czy Zamawiający wyrazi zgodę na zaoferowanie pasków kompatybilnych z glukometrem, które charakteryzują się: rodzaj próbki krwi do badania: świeża próbka pełnej krwi kapilarnej uzyskanej z opuszki palca lub krew żylna;  paski zawierające enzym GDH-FAD,  który nie interferuje z tlenem zawartym w krwi pacjenta; duży ekran z podświetlanymi cyframi (czytelność wyniku, ułatwia pracę </w:t>
      </w:r>
      <w:r w:rsidRPr="00E95D7B">
        <w:rPr>
          <w:rFonts w:ascii="Tahoma" w:hAnsi="Tahoma" w:cs="Tahoma"/>
        </w:rPr>
        <w:lastRenderedPageBreak/>
        <w:t>personelu o zmroku); podświetlana szczelina (ułatwia umieszczenie paska testowego); możliwość prezentacji wyniku w jednostkach mmol/l, zamiennie mg/dl; objętość próbki krwi konieczna do wykonania badania: 0,5ul; czas pomiaru: 5 sekund; automatyczne kodowane glukometru (bez kluczy, chipów i ręcznego ustawiania kodów)- łatwość w obsłudze bez dodatkowych czynności sprawdzających;część paska testowego na zewnątrz z automatycznym wyrzutem po pomiarze (funkcja daje dodatkowe podniesienia bezpieczeństwa i higieny pracy- po badaniu pracownik nie ma styczności z materiałem biologicznym pacjenta); zakres pomiaru: dolna granica zakresu  - ≤ 20mg/L; górna granica zakresu - ≤ 600 mg/dL; kapilara zasysająca znajduje  się na szczycie paska testowego (wygoda pomiaru kropli krwi); termin przydatności pasków testowych po otwarciu fiolki a la 50 szt. wynosił minimum 6 miesięcy; bezpłatny płyn kontrolny w zestawie z glukometrem (możliwość kontroli glukometru przed pierwszym użyciem); zaoferowane paski testowe do glukometrów to wyrób medyczny refundowany; posiadamy certyfikat z weryfikacji ISO 15197:2015 ( przeprowadzony i zatwierdzony przez notyfikowaną jednostkę TUV Rheinland Polska Sp. o.o.)-  parametry z normy ISO 15197:2015 są zalecane przez wytyczne PTD 2016; glukometr z dożywotnią gwarancją;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</w:rPr>
        <w:t> </w:t>
      </w:r>
      <w:r w:rsidRPr="00E95D7B">
        <w:rPr>
          <w:rFonts w:ascii="Tahoma" w:hAnsi="Tahoma" w:cs="Tahoma"/>
          <w:u w:val="single"/>
        </w:rPr>
        <w:t>Odpowiedź: Zgodnie z SIWZ.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2)      Informujemy że  glukometr i paski testowe powinien spełniać pełny zakres normy  EN IS0 15197:2015 obejmujący punkty od 1. do 8.   Norma EN ISO 15197:2015 jako norma zharmonizowana została opublikowana w maju 2016 w Dzienniku Urzędowym Unii Europejskiej z okresem przejściowym do 30 czerwca 2017 roku, co w praktyce oznacza, ze po tym terminie wszystkie glukometry i paski testowego będą musiały ją spełniać.  W związku z powyższym we wszystkich postepowaniach, w  których umowa  nie zakończy się przed  01.07.17r  zamawiający obowiązkowo powinni wymagać od producentów dostarczenie certyfikatu z weryfikacji na zgodność z normą EN ISO 15197:2015 w pełnym jej zakresie. Czy wymagają Państwo: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a)      glukometru, który spełnia normę EN ISO 15197:2015?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 xml:space="preserve">Odpowiedź: </w:t>
      </w:r>
      <w:r w:rsidRPr="00E95D7B">
        <w:rPr>
          <w:rFonts w:ascii="Tahoma" w:hAnsi="Tahoma" w:cs="Tahoma"/>
          <w:u w:val="single"/>
        </w:rPr>
        <w:t>Tak</w:t>
      </w:r>
      <w:r w:rsidRPr="00E95D7B">
        <w:rPr>
          <w:rFonts w:ascii="Tahoma" w:hAnsi="Tahoma" w:cs="Tahoma"/>
          <w:u w:val="single"/>
        </w:rPr>
        <w:t>.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b)      dołączenia do oferty certyfikatu z normy ISO 15197:2015 w języku polskim, wystawionego przez niezależną jednostkę notyfikowaną?</w:t>
      </w:r>
    </w:p>
    <w:p w:rsidR="00E95D7B" w:rsidRPr="00E95D7B" w:rsidRDefault="00E95D7B" w:rsidP="007A76DE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c)       potwierdzenie na spełnienie normy ISO 15197: 2015 w instrukcji pasków testowych w języku polskim?</w:t>
      </w:r>
    </w:p>
    <w:p w:rsidR="00E95D7B" w:rsidRPr="00E95D7B" w:rsidRDefault="00E95D7B" w:rsidP="007A76DE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 xml:space="preserve">3)      Czy Zamawiający wymaga specyfikacji w rzeczonej pozycji dla kompatybilnych z glukometrami pasków, aby do oferty przystępowały tylko hurtownie, które to reprezentują </w:t>
      </w:r>
      <w:r w:rsidRPr="00E95D7B">
        <w:rPr>
          <w:rFonts w:ascii="Tahoma" w:hAnsi="Tahoma" w:cs="Tahoma"/>
          <w:b/>
          <w:bCs/>
        </w:rPr>
        <w:t>BEZPOŚREDNIO WYTWÓRCĘ</w:t>
      </w:r>
      <w:r w:rsidRPr="00E95D7B">
        <w:rPr>
          <w:rFonts w:ascii="Tahoma" w:hAnsi="Tahoma" w:cs="Tahoma"/>
        </w:rPr>
        <w:t xml:space="preserve"> wyrobu medycznego w tym przypadku producenta glukometrów i pasków do glukometru a nie DYTRYBUTORA? WYTWÓRCA zgodnie z obowiązującą Ustawą o wyrobach medycznych z dnia 10 maja 2010 (z późniejszymi zmianami), Art. 45) odpowiedzialny jest za projektowanie, wytwarzanie, pakowanie i prawidłowe oznakowanie wyrobu.  Aby spełnić obowiązki narzucone przez ww. ustawę, WYTWÓRCA musi utrzymywać System Zarządzania Jakością, podczas gdy, DYTRYBUTOR jest tylko podmiotem mającym miejsce zamieszkania lub siedzibę w państwie członkowskim, który dostarcza lub udostępnia wyrób na rynku (Art. 1, punkt 12). DYTRYBUTOR nie ma obowiązku posiadania dokumentacji wyrobu medycznego, nie ma zatem wglądu w jej zawartość i kompletność, w związku z powyższym bardzo często posługuje się oświadczeniami, a nie dokumentami wydanymi przez niezależne jednostki notyfikujące. Tym samym Producent odpowiada za każdy etap powstawania wyrobu medycznego, nie tworzy oświadczeń tylko posiada stosowne certyfikaty pod dany sprzęt. </w:t>
      </w:r>
    </w:p>
    <w:p w:rsidR="00E95D7B" w:rsidRPr="00E95D7B" w:rsidRDefault="00E95D7B" w:rsidP="007A76DE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4)      Czy Zamawiający wymaga glukometr, którego pamięć wynosi co najmniej 600 ostatnich pomiarów?</w:t>
      </w:r>
    </w:p>
    <w:p w:rsidR="00E95D7B" w:rsidRPr="00E95D7B" w:rsidRDefault="00E95D7B" w:rsidP="007A76DE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</w:rPr>
        <w:t> </w:t>
      </w: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5)      Czy Zamawiający wymaga glukometr z podświetlaną szczeliną paskową oraz z podświetlonym ekranem?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</w:rPr>
        <w:t> </w:t>
      </w:r>
      <w:r w:rsidRPr="00E95D7B">
        <w:rPr>
          <w:rFonts w:ascii="Tahoma" w:hAnsi="Tahoma" w:cs="Tahoma"/>
          <w:u w:val="single"/>
        </w:rPr>
        <w:t>Odpowiedź: Zamawiający dopuszcza.</w:t>
      </w: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</w:p>
    <w:p w:rsidR="00E95D7B" w:rsidRPr="00E95D7B" w:rsidRDefault="00E95D7B" w:rsidP="00E95D7B">
      <w:pPr>
        <w:spacing w:before="100" w:beforeAutospacing="1"/>
        <w:jc w:val="both"/>
        <w:rPr>
          <w:rFonts w:ascii="Tahoma" w:hAnsi="Tahoma" w:cs="Tahoma"/>
        </w:rPr>
      </w:pPr>
      <w:r w:rsidRPr="00E95D7B">
        <w:rPr>
          <w:rFonts w:ascii="Tahoma" w:hAnsi="Tahoma" w:cs="Tahoma"/>
        </w:rPr>
        <w:t>6)      Czy Zamawiający wymaga pasków testowych ze szczeliną zasysającą krew na czubku paska testowego?</w:t>
      </w:r>
    </w:p>
    <w:p w:rsidR="00E95D7B" w:rsidRPr="00E95D7B" w:rsidRDefault="00E95D7B" w:rsidP="00E95D7B">
      <w:pPr>
        <w:ind w:left="360"/>
        <w:jc w:val="both"/>
        <w:rPr>
          <w:rFonts w:ascii="Tahoma" w:hAnsi="Tahoma" w:cs="Tahoma"/>
          <w:u w:val="single"/>
        </w:rPr>
      </w:pPr>
      <w:r w:rsidRPr="00E95D7B">
        <w:rPr>
          <w:rFonts w:ascii="Tahoma" w:hAnsi="Tahoma" w:cs="Tahoma"/>
          <w:u w:val="single"/>
        </w:rPr>
        <w:t>Odpowiedź: Zamawiający dopuszcza.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P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Default="00AE7BAB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 xml:space="preserve">Kierownik Zamawiającego </w:t>
      </w:r>
    </w:p>
    <w:p w:rsidR="003F78DB" w:rsidRPr="00AE7BAB" w:rsidRDefault="003F78DB" w:rsidP="00967416">
      <w:pPr>
        <w:jc w:val="both"/>
        <w:rPr>
          <w:rFonts w:ascii="Tahoma" w:hAnsi="Tahoma" w:cs="Tahoma"/>
          <w:sz w:val="16"/>
          <w:szCs w:val="16"/>
        </w:rPr>
      </w:pPr>
    </w:p>
    <w:p w:rsidR="00DA3FA9" w:rsidRPr="00AD7950" w:rsidRDefault="00DA3FA9" w:rsidP="00967416">
      <w:pPr>
        <w:widowControl w:val="0"/>
        <w:autoSpaceDE w:val="0"/>
        <w:ind w:right="26"/>
        <w:rPr>
          <w:rFonts w:ascii="Tahoma" w:hAnsi="Tahoma" w:cs="Tahoma"/>
        </w:rPr>
      </w:pPr>
      <w:r w:rsidRPr="00967416">
        <w:rPr>
          <w:rFonts w:ascii="Tahoma" w:hAnsi="Tahoma" w:cs="Tahoma"/>
        </w:rPr>
        <w:t xml:space="preserve">Głuchołazy, </w:t>
      </w:r>
      <w:r w:rsidR="007A76DE">
        <w:rPr>
          <w:rFonts w:ascii="Tahoma" w:hAnsi="Tahoma" w:cs="Tahoma"/>
        </w:rPr>
        <w:t>10</w:t>
      </w:r>
      <w:bookmarkStart w:id="2" w:name="_GoBack"/>
      <w:bookmarkEnd w:id="2"/>
      <w:r w:rsidRPr="00967416">
        <w:rPr>
          <w:rFonts w:ascii="Tahoma" w:hAnsi="Tahoma" w:cs="Tahoma"/>
        </w:rPr>
        <w:t>.0</w:t>
      </w:r>
      <w:r w:rsidR="009E3424">
        <w:rPr>
          <w:rFonts w:ascii="Tahoma" w:hAnsi="Tahoma" w:cs="Tahoma"/>
        </w:rPr>
        <w:t>7</w:t>
      </w:r>
      <w:r w:rsidRPr="00967416">
        <w:rPr>
          <w:rFonts w:ascii="Tahoma" w:hAnsi="Tahoma" w:cs="Tahoma"/>
        </w:rPr>
        <w:t>.20</w:t>
      </w:r>
      <w:r w:rsidR="009E3424">
        <w:rPr>
          <w:rFonts w:ascii="Tahoma" w:hAnsi="Tahoma" w:cs="Tahoma"/>
        </w:rPr>
        <w:t>20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8"/>
      <w:footerReference w:type="default" r:id="rId9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97" w:rsidRDefault="00681997">
      <w:r>
        <w:separator/>
      </w:r>
    </w:p>
  </w:endnote>
  <w:endnote w:type="continuationSeparator" w:id="0">
    <w:p w:rsidR="00681997" w:rsidRDefault="0068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97" w:rsidRDefault="00681997">
      <w:r>
        <w:separator/>
      </w:r>
    </w:p>
  </w:footnote>
  <w:footnote w:type="continuationSeparator" w:id="0">
    <w:p w:rsidR="00681997" w:rsidRDefault="0068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669AB"/>
    <w:multiLevelType w:val="hybridMultilevel"/>
    <w:tmpl w:val="1750C07E"/>
    <w:lvl w:ilvl="0" w:tplc="A652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F1F2B"/>
    <w:multiLevelType w:val="hybridMultilevel"/>
    <w:tmpl w:val="51F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05E03"/>
    <w:multiLevelType w:val="hybridMultilevel"/>
    <w:tmpl w:val="9F0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8"/>
  </w:num>
  <w:num w:numId="6">
    <w:abstractNumId w:val="4"/>
  </w:num>
  <w:num w:numId="7">
    <w:abstractNumId w:val="0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3"/>
  </w:num>
  <w:num w:numId="15">
    <w:abstractNumId w:val="15"/>
  </w:num>
  <w:num w:numId="16">
    <w:abstractNumId w:val="12"/>
  </w:num>
  <w:num w:numId="17">
    <w:abstractNumId w:val="2"/>
  </w:num>
  <w:num w:numId="18">
    <w:abstractNumId w:val="1"/>
  </w:num>
  <w:num w:numId="19">
    <w:abstractNumId w:val="17"/>
  </w:num>
  <w:num w:numId="20">
    <w:abstractNumId w:val="8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1062"/>
    <w:rsid w:val="00077D51"/>
    <w:rsid w:val="000917E9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127D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D2567"/>
    <w:rsid w:val="002D76C8"/>
    <w:rsid w:val="002E1D21"/>
    <w:rsid w:val="002E2C87"/>
    <w:rsid w:val="002E740C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C0319"/>
    <w:rsid w:val="003D4DE7"/>
    <w:rsid w:val="003F78DB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B468F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23C58"/>
    <w:rsid w:val="00630E54"/>
    <w:rsid w:val="0065220F"/>
    <w:rsid w:val="00656B04"/>
    <w:rsid w:val="00681997"/>
    <w:rsid w:val="00696B27"/>
    <w:rsid w:val="006A703F"/>
    <w:rsid w:val="006B0941"/>
    <w:rsid w:val="006B1A95"/>
    <w:rsid w:val="006B3FB7"/>
    <w:rsid w:val="006D0692"/>
    <w:rsid w:val="006F0CCD"/>
    <w:rsid w:val="007057AE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A76DE"/>
    <w:rsid w:val="007B7F7E"/>
    <w:rsid w:val="007C7E4A"/>
    <w:rsid w:val="007D414F"/>
    <w:rsid w:val="007D7D1B"/>
    <w:rsid w:val="007E5E7F"/>
    <w:rsid w:val="007F1B30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97C9D"/>
    <w:rsid w:val="008B302A"/>
    <w:rsid w:val="008E1AB4"/>
    <w:rsid w:val="008E28B8"/>
    <w:rsid w:val="008E38C6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E3424"/>
    <w:rsid w:val="009F36AA"/>
    <w:rsid w:val="009F5789"/>
    <w:rsid w:val="009F6348"/>
    <w:rsid w:val="00A13652"/>
    <w:rsid w:val="00A24305"/>
    <w:rsid w:val="00A501CE"/>
    <w:rsid w:val="00A51469"/>
    <w:rsid w:val="00A51759"/>
    <w:rsid w:val="00A57C97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42B1"/>
    <w:rsid w:val="00AC7516"/>
    <w:rsid w:val="00AD02B8"/>
    <w:rsid w:val="00AD6A2C"/>
    <w:rsid w:val="00AD7950"/>
    <w:rsid w:val="00AE7531"/>
    <w:rsid w:val="00AE7533"/>
    <w:rsid w:val="00AE7BAB"/>
    <w:rsid w:val="00AF1F2C"/>
    <w:rsid w:val="00B14B60"/>
    <w:rsid w:val="00B47434"/>
    <w:rsid w:val="00B504DE"/>
    <w:rsid w:val="00B61F63"/>
    <w:rsid w:val="00B75C4B"/>
    <w:rsid w:val="00B7707D"/>
    <w:rsid w:val="00BB3FE0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263A1"/>
    <w:rsid w:val="00C34DD7"/>
    <w:rsid w:val="00C633FF"/>
    <w:rsid w:val="00C63F65"/>
    <w:rsid w:val="00C90FAC"/>
    <w:rsid w:val="00C93A99"/>
    <w:rsid w:val="00CA3F5F"/>
    <w:rsid w:val="00CB1B5E"/>
    <w:rsid w:val="00CD068A"/>
    <w:rsid w:val="00CF41A0"/>
    <w:rsid w:val="00D23E3C"/>
    <w:rsid w:val="00D3238E"/>
    <w:rsid w:val="00D5748A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B1C0E"/>
    <w:rsid w:val="00DB637C"/>
    <w:rsid w:val="00DC399F"/>
    <w:rsid w:val="00DC3E7E"/>
    <w:rsid w:val="00DF65E9"/>
    <w:rsid w:val="00E12F38"/>
    <w:rsid w:val="00E26416"/>
    <w:rsid w:val="00E26C00"/>
    <w:rsid w:val="00E447A6"/>
    <w:rsid w:val="00E55B5D"/>
    <w:rsid w:val="00E57E02"/>
    <w:rsid w:val="00E60522"/>
    <w:rsid w:val="00E74907"/>
    <w:rsid w:val="00E81E02"/>
    <w:rsid w:val="00E87198"/>
    <w:rsid w:val="00E95D7B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20985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  <w:style w:type="paragraph" w:styleId="Bezodstpw">
    <w:name w:val="No Spacing"/>
    <w:uiPriority w:val="1"/>
    <w:qFormat/>
    <w:rsid w:val="001412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E8D7-A9A0-4600-97E7-BC3A30C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24</cp:revision>
  <cp:lastPrinted>2020-07-10T10:06:00Z</cp:lastPrinted>
  <dcterms:created xsi:type="dcterms:W3CDTF">2018-05-25T11:59:00Z</dcterms:created>
  <dcterms:modified xsi:type="dcterms:W3CDTF">2020-07-10T11:22:00Z</dcterms:modified>
</cp:coreProperties>
</file>