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C428" w14:textId="77777777" w:rsidR="001C07AF" w:rsidRPr="001E7A73" w:rsidRDefault="001C07AF" w:rsidP="001C07A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Pr="009E753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Tor wizyjny z monitorem i fiberoskopami 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zestaw</w:t>
      </w:r>
    </w:p>
    <w:p w14:paraId="5BEFF8E3" w14:textId="77777777" w:rsidR="001C07AF" w:rsidRPr="00B74D35" w:rsidRDefault="001C07AF" w:rsidP="001C07AF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02C0BD0" w14:textId="77777777" w:rsidR="001C07AF" w:rsidRPr="00B74D35" w:rsidRDefault="001C07AF" w:rsidP="001C07AF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4CDDAE4" w14:textId="77777777" w:rsidR="001C07AF" w:rsidRPr="00B74D35" w:rsidRDefault="001C07AF" w:rsidP="001C07AF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78533CBC" w14:textId="77777777" w:rsidR="001C07AF" w:rsidRPr="00B74D35" w:rsidRDefault="001C07AF" w:rsidP="001C07AF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2C4DE552" w14:textId="77777777" w:rsidR="001C07AF" w:rsidRDefault="001C07AF" w:rsidP="001C07AF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4363395B" w14:textId="77777777" w:rsidR="001C07AF" w:rsidRDefault="001C07AF" w:rsidP="001C07AF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707"/>
        <w:gridCol w:w="1276"/>
        <w:gridCol w:w="6485"/>
      </w:tblGrid>
      <w:tr w:rsidR="001C07AF" w:rsidRPr="00B74D35" w14:paraId="277E681D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253C" w14:textId="77777777" w:rsidR="001C07AF" w:rsidRPr="00B74D35" w:rsidRDefault="001C07AF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4C16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0F0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F2D4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1C07AF" w:rsidRPr="00B74D35" w14:paraId="634B45A2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E3BF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ED9A" w14:textId="77777777" w:rsidR="001C07AF" w:rsidRPr="00B74D35" w:rsidRDefault="001C07AF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1744" w14:textId="77777777" w:rsidR="001C07AF" w:rsidRPr="000743F5" w:rsidRDefault="001C07AF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823E" w14:textId="77777777" w:rsidR="001C07AF" w:rsidRPr="00B74D35" w:rsidRDefault="001C07AF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C07AF" w:rsidRPr="00B74D35" w14:paraId="0FD274F9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222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CCFB" w14:textId="77777777" w:rsidR="001C07AF" w:rsidRDefault="001C07AF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Menu w języku polskim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5882" w14:textId="77777777" w:rsidR="001C07AF" w:rsidRPr="000743F5" w:rsidRDefault="001C07AF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3DC" w14:textId="77777777" w:rsidR="001C07AF" w:rsidRPr="00B74D35" w:rsidRDefault="001C07AF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C07AF" w:rsidRPr="00B74D35" w14:paraId="259188BA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8AF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4098" w14:textId="3756148F" w:rsidR="001C07AF" w:rsidRPr="00F572C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572C2">
              <w:rPr>
                <w:rFonts w:ascii="Calibri" w:hAnsi="Calibri" w:cs="Calibri"/>
                <w:sz w:val="20"/>
                <w:szCs w:val="22"/>
              </w:rPr>
              <w:t>Procesor wideo 4K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641C5B">
              <w:rPr>
                <w:rFonts w:ascii="Calibri" w:hAnsi="Calibri" w:cs="Calibri"/>
                <w:sz w:val="20"/>
                <w:szCs w:val="22"/>
              </w:rPr>
              <w:t>z możliwością rozszerzenia o tryby 3D/I</w:t>
            </w:r>
            <w:r w:rsidR="00E378A1">
              <w:rPr>
                <w:rFonts w:ascii="Calibri" w:hAnsi="Calibri" w:cs="Calibri"/>
                <w:sz w:val="20"/>
                <w:szCs w:val="22"/>
              </w:rPr>
              <w:t>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D17" w14:textId="77777777" w:rsidR="001C07AF" w:rsidRPr="000743F5" w:rsidRDefault="001C07AF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C0A0" w14:textId="77777777" w:rsidR="001C07AF" w:rsidRPr="00B74D35" w:rsidRDefault="001C07AF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C07AF" w:rsidRPr="00B74D35" w14:paraId="6AC220B4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0FCD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935" w14:textId="77777777" w:rsidR="001C07AF" w:rsidRPr="00F572C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572C2">
              <w:rPr>
                <w:rFonts w:ascii="Calibri" w:hAnsi="Calibri" w:cs="Calibri"/>
                <w:sz w:val="20"/>
                <w:szCs w:val="22"/>
              </w:rPr>
              <w:t>Panel dotykowy do sterowania funkcjami procesora i kompatybilnego źródła światła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902" w14:textId="77777777" w:rsidR="001C07AF" w:rsidRPr="000743F5" w:rsidRDefault="001C07AF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4B01" w14:textId="77777777" w:rsidR="001C07AF" w:rsidRPr="00B74D35" w:rsidRDefault="001C07AF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C07AF" w:rsidRPr="00B74D35" w14:paraId="72753F38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9433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3733" w14:textId="77777777" w:rsidR="001C07AF" w:rsidRPr="00F572C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572C2">
              <w:rPr>
                <w:rFonts w:ascii="Calibri" w:hAnsi="Calibri" w:cs="Calibri"/>
                <w:sz w:val="20"/>
                <w:szCs w:val="22"/>
              </w:rPr>
              <w:t xml:space="preserve">Procesor wyposażony w system obrazowania z technologią optyczno-cyfrową blokującą pasmo czerwone w widmie światła białego celem diagnostyki unaczynienia w warstwie </w:t>
            </w:r>
            <w:proofErr w:type="spellStart"/>
            <w:r w:rsidRPr="00F572C2">
              <w:rPr>
                <w:rFonts w:ascii="Calibri" w:hAnsi="Calibri" w:cs="Calibri"/>
                <w:sz w:val="20"/>
                <w:szCs w:val="22"/>
              </w:rPr>
              <w:t>podśluzówkowej</w:t>
            </w:r>
            <w:proofErr w:type="spellEnd"/>
            <w:r w:rsidRPr="00F572C2">
              <w:rPr>
                <w:rFonts w:ascii="Calibri" w:hAnsi="Calibri" w:cs="Calibri"/>
                <w:sz w:val="20"/>
                <w:szCs w:val="22"/>
              </w:rPr>
              <w:t xml:space="preserve"> wpływającą na możliwość wczesnej diagnostyki zmian nowotworowych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516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10pkt.</w:t>
            </w:r>
          </w:p>
          <w:p w14:paraId="47216D0B" w14:textId="77777777" w:rsidR="001C07AF" w:rsidRPr="00F23C8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92B" w14:textId="77777777" w:rsidR="001C07AF" w:rsidRPr="00B74D35" w:rsidRDefault="001C07AF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C07AF" w:rsidRPr="00B74D35" w14:paraId="038B5992" w14:textId="77777777" w:rsidTr="003B3A53">
        <w:trPr>
          <w:trHeight w:val="32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3711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410" w14:textId="77777777" w:rsidR="001C07AF" w:rsidRPr="00F572C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572C2">
              <w:rPr>
                <w:rFonts w:ascii="Calibri" w:hAnsi="Calibri" w:cs="Calibri"/>
                <w:sz w:val="20"/>
                <w:szCs w:val="22"/>
              </w:rPr>
              <w:t xml:space="preserve">Procesor wyposażony w system obrazowania </w:t>
            </w:r>
            <w:proofErr w:type="spellStart"/>
            <w:r w:rsidRPr="00F572C2">
              <w:rPr>
                <w:rFonts w:ascii="Calibri" w:hAnsi="Calibri" w:cs="Calibri"/>
                <w:sz w:val="20"/>
                <w:szCs w:val="22"/>
              </w:rPr>
              <w:t>Yellow</w:t>
            </w:r>
            <w:proofErr w:type="spellEnd"/>
            <w:r w:rsidRPr="00F572C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F572C2">
              <w:rPr>
                <w:rFonts w:ascii="Calibri" w:hAnsi="Calibri" w:cs="Calibri"/>
                <w:sz w:val="20"/>
                <w:szCs w:val="22"/>
              </w:rPr>
              <w:t>Enhance</w:t>
            </w:r>
            <w:proofErr w:type="spellEnd"/>
            <w:r w:rsidRPr="00F572C2">
              <w:rPr>
                <w:rFonts w:ascii="Calibri" w:hAnsi="Calibri" w:cs="Calibri"/>
                <w:sz w:val="20"/>
                <w:szCs w:val="22"/>
              </w:rPr>
              <w:t xml:space="preserve"> (YE), wzmocnienie koloru żółtego podczas obserwacji w świetle białym (WLI) dla lepszej wizualizacji struktur tłuszczowych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5B9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10pkt.</w:t>
            </w:r>
          </w:p>
          <w:p w14:paraId="1A4C7E9F" w14:textId="77777777" w:rsidR="001C07AF" w:rsidRPr="00F23C8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4706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3A64D662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E5D9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4F7" w14:textId="77777777" w:rsidR="001C07AF" w:rsidRPr="00F572C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Wyjścia wideo: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co najmniej 2x pod 4K i co najmniej 2x pod sygnał Full HD.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4DF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913D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0B02571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5F1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0E4E" w14:textId="77777777" w:rsidR="001C07AF" w:rsidRPr="00F572C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>Gniazdo USB do podłączenia pamięci zewnętrznej typu Flash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CBC8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A4D4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522FF55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4461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F64" w14:textId="77777777" w:rsidR="001C07AF" w:rsidRPr="00F572C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>Pamięć wewnętrzna urządzenia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3D95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598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6638BB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FDE1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557" w14:textId="77777777" w:rsidR="001C07AF" w:rsidRPr="00F572C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Uniwersalny f</w:t>
            </w: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>ormat zapisywania plików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typu </w:t>
            </w: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.jpg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czy</w:t>
            </w: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.</w:t>
            </w:r>
            <w:proofErr w:type="spellStart"/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>tiff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B1B7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B6B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564A99F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F24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B85" w14:textId="77777777" w:rsidR="001C07AF" w:rsidRPr="00F572C2" w:rsidRDefault="001C07AF" w:rsidP="003B3A53">
            <w:pPr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Automatyczne dostosowanie jasności w przedziale od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min. </w:t>
            </w: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>-8 do +8 (w 17 krokach)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33EF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30C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CD0DFD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16AB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417C" w14:textId="77777777" w:rsidR="001C07AF" w:rsidRPr="00F572C2" w:rsidRDefault="001C07AF" w:rsidP="003B3A53">
            <w:pPr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Ręczne dostosowanie jasności w przedziale od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co najmniej </w:t>
            </w: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>1 do 17 (w 17 krokach)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2810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A496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CC065F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052B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FB0B" w14:textId="77777777" w:rsidR="001C07AF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>Możliwość dostosowania tonu kolorów:</w:t>
            </w:r>
          </w:p>
          <w:p w14:paraId="3126A638" w14:textId="77777777" w:rsidR="001C07AF" w:rsidRPr="00F572C2" w:rsidRDefault="001C07AF" w:rsidP="003B3A53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 xml:space="preserve">Regulacja odcienia i nasycenia barwy dla trybów WLI i YE od -5 do 5 (w 11 krokach) dla kolorów: czerwonego, pomarańczowego, żółtego, </w:t>
            </w:r>
            <w:proofErr w:type="spellStart"/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>magenta</w:t>
            </w:r>
            <w:proofErr w:type="spellEnd"/>
          </w:p>
          <w:p w14:paraId="32C3884A" w14:textId="77777777" w:rsidR="001C07AF" w:rsidRPr="00F572C2" w:rsidRDefault="001C07AF" w:rsidP="003B3A53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572C2">
              <w:rPr>
                <w:rFonts w:ascii="Calibri" w:hAnsi="Calibri" w:cs="Calibri"/>
                <w:color w:val="000000"/>
                <w:sz w:val="20"/>
                <w:szCs w:val="22"/>
              </w:rPr>
              <w:t>Regulacja dla trybu WLI i obrazowania w wąskim paśmie światła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F79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CE77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3BF051B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AE1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A961" w14:textId="77777777" w:rsidR="001C07AF" w:rsidRPr="00F572C2" w:rsidRDefault="001C07AF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F572C2">
              <w:rPr>
                <w:rFonts w:asciiTheme="minorHAnsi" w:hAnsiTheme="minorHAnsi" w:cstheme="minorHAnsi"/>
                <w:sz w:val="20"/>
                <w:szCs w:val="22"/>
              </w:rPr>
              <w:t xml:space="preserve">Regulacja tonu czerwieni  - w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co najmniej </w:t>
            </w:r>
            <w:r w:rsidRPr="00F572C2">
              <w:rPr>
                <w:rFonts w:asciiTheme="minorHAnsi" w:hAnsiTheme="minorHAnsi" w:cstheme="minorHAnsi"/>
                <w:sz w:val="20"/>
                <w:szCs w:val="22"/>
              </w:rPr>
              <w:t>11 krokach od –5 do 5</w:t>
            </w:r>
          </w:p>
          <w:p w14:paraId="4B05E0F4" w14:textId="77777777" w:rsidR="001C07AF" w:rsidRPr="00F572C2" w:rsidRDefault="001C07AF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F572C2">
              <w:rPr>
                <w:rFonts w:asciiTheme="minorHAnsi" w:hAnsiTheme="minorHAnsi" w:cstheme="minorHAnsi"/>
                <w:sz w:val="20"/>
                <w:szCs w:val="22"/>
              </w:rPr>
              <w:t xml:space="preserve">Regulacja tonu niebieskiego - w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co najmniej </w:t>
            </w:r>
            <w:r w:rsidRPr="00F572C2">
              <w:rPr>
                <w:rFonts w:asciiTheme="minorHAnsi" w:hAnsiTheme="minorHAnsi" w:cstheme="minorHAnsi"/>
                <w:sz w:val="20"/>
                <w:szCs w:val="22"/>
              </w:rPr>
              <w:t>11 krokach od –5 do 5</w:t>
            </w:r>
          </w:p>
          <w:p w14:paraId="3B93CE14" w14:textId="77777777" w:rsidR="001C07AF" w:rsidRPr="00691E6C" w:rsidRDefault="001C07AF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F572C2">
              <w:rPr>
                <w:rFonts w:asciiTheme="minorHAnsi" w:hAnsiTheme="minorHAnsi" w:cstheme="minorHAnsi"/>
                <w:sz w:val="20"/>
                <w:szCs w:val="22"/>
              </w:rPr>
              <w:t xml:space="preserve">Nasycenie barwy czerwonej -  w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co najmniej </w:t>
            </w:r>
            <w:r w:rsidRPr="00F572C2">
              <w:rPr>
                <w:rFonts w:asciiTheme="minorHAnsi" w:hAnsiTheme="minorHAnsi" w:cstheme="minorHAnsi"/>
                <w:sz w:val="20"/>
                <w:szCs w:val="22"/>
              </w:rPr>
              <w:t>11 krokach od –5 do 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C26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133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405D9F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7BD5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862" w14:textId="77777777" w:rsidR="001C07AF" w:rsidRPr="00F572C2" w:rsidRDefault="001C07AF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F572C2">
              <w:rPr>
                <w:rFonts w:asciiTheme="minorHAnsi" w:hAnsiTheme="minorHAnsi" w:cstheme="minorHAnsi"/>
                <w:sz w:val="20"/>
              </w:rPr>
              <w:t>3 tryby kolorów dla obrazowania w świetle białym oraz 4 tryby kolorów obrazowania w wąskim paśmie (Auto, Tryb 1-3)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C5AB" w14:textId="77777777" w:rsidR="001C07AF" w:rsidRPr="00B74D35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2AE1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DFA0C4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FB72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8DC" w14:textId="77777777" w:rsidR="001C07AF" w:rsidRPr="00F572C2" w:rsidRDefault="001C07AF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najmniej 2</w:t>
            </w:r>
            <w:r w:rsidRPr="00F572C2">
              <w:rPr>
                <w:rFonts w:asciiTheme="minorHAnsi" w:hAnsiTheme="minorHAnsi" w:cstheme="minorHAnsi"/>
                <w:sz w:val="20"/>
              </w:rPr>
              <w:t xml:space="preserve"> tryby ustawienia czułości przesłony: wysoki (szybka reakcja) i niski (wolna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572C2">
              <w:rPr>
                <w:rFonts w:asciiTheme="minorHAnsi" w:hAnsiTheme="minorHAnsi" w:cstheme="minorHAnsi"/>
                <w:sz w:val="20"/>
              </w:rPr>
              <w:t>reakcja)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7E9A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82C7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4B8BBF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9631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E1FD" w14:textId="77777777" w:rsidR="001C07AF" w:rsidRPr="00632086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Co najmniej 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3 stopnie wzmocnienia obrazu (2 dla struktury, 1 dla krawędzi) dla obrazowania w świetle białym, w trybie podczerwieni (IR) oraz w obrazowaniu wąską wiązką światła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A16B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5F0A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28FE98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7C1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7854" w14:textId="77777777" w:rsidR="001C07AF" w:rsidRPr="00632086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Funkcja „filtr </w:t>
            </w:r>
            <w:proofErr w:type="spellStart"/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moire</w:t>
            </w:r>
            <w:proofErr w:type="spellEnd"/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” –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co najmniej 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dwustopniowy do pracy z fiberoskopami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1A09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BE36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2975BB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6D3C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4913" w14:textId="77777777" w:rsidR="001C07AF" w:rsidRPr="00632086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Co najmniej 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3 stopnie regulacji kontrastu (wysoki, normalny, niski)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332C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D9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A097DF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5F2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162" w14:textId="77777777" w:rsidR="001C07AF" w:rsidRPr="00632086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Automatyczne wzmocnienie obrazu AGC z opcją regulacji - funkcja elektronicznego rozjaśnienia obrazu endoskopowego z redukcją szumu (wysoki, średni, niski)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067A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7A4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9E5AFD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187C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040" w14:textId="77777777" w:rsidR="001C07AF" w:rsidRPr="00632086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Funkcja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przypisania ustawień dla min.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0 użytkowników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5CD3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DFA0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535EEE9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6EA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C4E2" w14:textId="77777777" w:rsidR="001C07AF" w:rsidRPr="00632086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Możliwość zapisu profilu użytkownika na pamięci zewnętrznej i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możliwość jej </w:t>
            </w:r>
            <w:r w:rsidRPr="00632086">
              <w:rPr>
                <w:rFonts w:ascii="Calibri" w:hAnsi="Calibri" w:cs="Calibri"/>
                <w:color w:val="000000"/>
                <w:sz w:val="20"/>
                <w:szCs w:val="22"/>
              </w:rPr>
              <w:t>zaimportowania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C94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08BC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2961AB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C59B" w14:textId="77777777" w:rsidR="001C07AF" w:rsidRPr="00B74D35" w:rsidRDefault="001C07A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8B3" w14:textId="77777777" w:rsidR="001C07AF" w:rsidRPr="00F030A5" w:rsidRDefault="001C07AF" w:rsidP="003B3A53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F030A5">
              <w:rPr>
                <w:rFonts w:asciiTheme="minorHAnsi" w:hAnsiTheme="minorHAnsi" w:cstheme="minorHAnsi"/>
                <w:b/>
                <w:sz w:val="20"/>
                <w:highlight w:val="lightGray"/>
              </w:rPr>
              <w:t>Źródło światła LED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1B94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A5C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38F33CE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ACA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682F" w14:textId="77777777" w:rsidR="001C07AF" w:rsidRPr="00F030A5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030A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Kompatybilne z procesorem 4K – w zestawie przewód komunikacyjny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B634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CEB8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36B9153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AF34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1B2" w14:textId="77777777" w:rsidR="001C07AF" w:rsidRPr="00F030A5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030A5">
              <w:rPr>
                <w:rFonts w:ascii="Calibri" w:hAnsi="Calibri" w:cs="Calibri"/>
                <w:color w:val="000000"/>
                <w:sz w:val="20"/>
                <w:szCs w:val="22"/>
              </w:rPr>
              <w:t>Zgodne z trybem obserwacji w wąskim paśmie światła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2168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129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572660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EF70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3AE" w14:textId="77777777" w:rsidR="001C07AF" w:rsidRPr="00F030A5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030A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Zgodne z trybem obserwacji </w:t>
            </w:r>
            <w:proofErr w:type="spellStart"/>
            <w:r w:rsidRPr="00F030A5">
              <w:rPr>
                <w:rFonts w:ascii="Calibri" w:hAnsi="Calibri" w:cs="Calibri"/>
                <w:color w:val="000000"/>
                <w:sz w:val="20"/>
                <w:szCs w:val="22"/>
              </w:rPr>
              <w:t>Yellow</w:t>
            </w:r>
            <w:proofErr w:type="spellEnd"/>
            <w:r w:rsidRPr="00F030A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030A5">
              <w:rPr>
                <w:rFonts w:ascii="Calibri" w:hAnsi="Calibri" w:cs="Calibri"/>
                <w:color w:val="000000"/>
                <w:sz w:val="20"/>
                <w:szCs w:val="22"/>
              </w:rPr>
              <w:t>Enhance</w:t>
            </w:r>
            <w:proofErr w:type="spellEnd"/>
            <w:r w:rsidRPr="00F030A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(YE)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3E21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B63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DD45E5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E7E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9CAB" w14:textId="77777777" w:rsidR="001C07AF" w:rsidRPr="00F030A5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030A5">
              <w:rPr>
                <w:rFonts w:ascii="Calibri" w:hAnsi="Calibri" w:cs="Calibri"/>
                <w:color w:val="000000"/>
                <w:sz w:val="20"/>
                <w:szCs w:val="22"/>
              </w:rPr>
              <w:t>Zgodne z trybem obserwacji IR i światła białego (WLI)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1E3D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0D5D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0B64E4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C463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096B" w14:textId="77777777" w:rsidR="001C07AF" w:rsidRPr="00F030A5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030A5">
              <w:rPr>
                <w:rFonts w:ascii="Calibri" w:hAnsi="Calibri" w:cs="Calibri"/>
                <w:color w:val="000000"/>
                <w:sz w:val="20"/>
                <w:szCs w:val="22"/>
              </w:rPr>
              <w:t>Automatyczna regulacja jasności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6A9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49A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326B215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CF50" w14:textId="77777777" w:rsidR="001C07AF" w:rsidRPr="00B74D35" w:rsidRDefault="001C07A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D1E" w14:textId="77777777" w:rsidR="001C07AF" w:rsidRPr="00061DE4" w:rsidRDefault="001C07AF" w:rsidP="003B3A5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1DE4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 medyczny 4K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min. 31”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C36D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2E3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827F66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C180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C80" w14:textId="77777777" w:rsidR="001C07AF" w:rsidRPr="00061DE4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1DE4">
              <w:rPr>
                <w:rFonts w:ascii="Calibri" w:hAnsi="Calibri" w:cs="Calibri"/>
                <w:color w:val="000000"/>
                <w:sz w:val="20"/>
                <w:szCs w:val="22"/>
              </w:rPr>
              <w:t>Rozmiar matrycy min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.</w:t>
            </w:r>
            <w:r w:rsidRPr="00061DE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3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  <w:r w:rsidRPr="00061DE4">
              <w:rPr>
                <w:rFonts w:ascii="Calibri" w:hAnsi="Calibri" w:cs="Calibri"/>
                <w:color w:val="000000"/>
                <w:sz w:val="20"/>
                <w:szCs w:val="22"/>
              </w:rPr>
              <w:t>”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1B8A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4A1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30234A9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655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353" w14:textId="77777777" w:rsidR="001C07AF" w:rsidRPr="00061DE4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1DE4">
              <w:rPr>
                <w:rFonts w:ascii="Calibri" w:hAnsi="Calibri" w:cs="Calibri"/>
                <w:color w:val="000000"/>
                <w:sz w:val="20"/>
                <w:szCs w:val="22"/>
              </w:rPr>
              <w:t>Rozdzielczość min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.</w:t>
            </w:r>
            <w:r w:rsidRPr="00061DE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3840x2160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(16:9)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F4C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0219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5942902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7C3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FA4E" w14:textId="77777777" w:rsidR="001C07AF" w:rsidRPr="00F23C8F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>Współczynnik kontrastu 1.000.000:1 dla lepszego obrazowania i uwidocznienia struktur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3B4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10pkt.</w:t>
            </w:r>
          </w:p>
          <w:p w14:paraId="374A9369" w14:textId="77777777" w:rsidR="001C07AF" w:rsidRPr="00F23C8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06E0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4A94913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D44C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6749" w14:textId="77777777" w:rsidR="001C07AF" w:rsidRPr="00F23C8F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>Jasność co najmniej 650 cd/m2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4923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B9F4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2C645A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DBED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FC39" w14:textId="77777777" w:rsidR="001C07AF" w:rsidRPr="00F23C8F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 xml:space="preserve">Funkcje: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min.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PIP, POP, obrót, wzmocnienie obrazu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EA7A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702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48C2E1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DE9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E02F" w14:textId="77777777" w:rsidR="001C07AF" w:rsidRPr="00F23C8F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>Monitor wyposażony w funkcję HDR pozwalającą lepiej odtwarzać obrazy realistyczne, zwiększając uchwycenie szczegółów w jasnych i ciemnych obszarach obrazu, wpływając na lepsze uwidocznienie, a w konsekwencji diagnostykę zmian w obrębie badanej tkanki.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2B0F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10pkt.</w:t>
            </w:r>
          </w:p>
          <w:p w14:paraId="020EE34D" w14:textId="77777777" w:rsidR="001C07AF" w:rsidRDefault="001C07AF" w:rsidP="003B3A53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666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4A20E1C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A55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376A" w14:textId="77777777" w:rsidR="001C07AF" w:rsidRPr="00061DE4" w:rsidRDefault="001C07AF" w:rsidP="003B3A53">
            <w:pPr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 xml:space="preserve">Monitor wyposażony w funkcję tzw. </w:t>
            </w:r>
            <w:proofErr w:type="spellStart"/>
            <w:r w:rsidRPr="00F23C8F">
              <w:rPr>
                <w:rFonts w:ascii="Calibri" w:hAnsi="Calibri" w:cs="Calibri"/>
                <w:sz w:val="20"/>
                <w:szCs w:val="22"/>
              </w:rPr>
              <w:t>Upscalingu</w:t>
            </w:r>
            <w:proofErr w:type="spellEnd"/>
            <w:r w:rsidRPr="00F23C8F">
              <w:rPr>
                <w:rFonts w:ascii="Calibri" w:hAnsi="Calibri" w:cs="Calibri"/>
                <w:sz w:val="20"/>
                <w:szCs w:val="22"/>
              </w:rPr>
              <w:t xml:space="preserve"> HD/SD do 4K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C19D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7149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7F9392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41D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EEA" w14:textId="77777777" w:rsidR="001C07AF" w:rsidRPr="00061DE4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1DE4">
              <w:rPr>
                <w:rFonts w:ascii="Calibri" w:hAnsi="Calibri" w:cs="Calibri"/>
                <w:color w:val="000000"/>
                <w:sz w:val="20"/>
                <w:szCs w:val="22"/>
              </w:rPr>
              <w:t>Wejścia min: HDMI, DVI-D, 12G/3G/HD-SDI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(lub inne umożliwiające transfer 4K)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DC96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1519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5C09478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5B4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044" w14:textId="77777777" w:rsidR="001C07AF" w:rsidRPr="00061DE4" w:rsidRDefault="001C07AF" w:rsidP="003B3A53">
            <w:pPr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>Wyjścia min: 12G/3G/HD-SDI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(lub inne umożliwiające transfer 4K) oraz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 złącze wyjścia klonowania umożliwiające wyjście tego samego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obrazu jaki jest wyświetlany na monitorze</w:t>
            </w:r>
            <w:r>
              <w:rPr>
                <w:rFonts w:ascii="Calibri" w:hAnsi="Calibri" w:cs="Calibri"/>
                <w:sz w:val="20"/>
                <w:szCs w:val="22"/>
              </w:rPr>
              <w:t>, po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zwala</w:t>
            </w:r>
            <w:r>
              <w:rPr>
                <w:rFonts w:ascii="Calibri" w:hAnsi="Calibri" w:cs="Calibri"/>
                <w:sz w:val="20"/>
                <w:szCs w:val="22"/>
              </w:rPr>
              <w:t>jące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 na łatwe nagrywanie dokładnie tej samej treści co wyświetlana. Możliwość wyboru rozdzielczości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wyjścia klonowania: 4K lub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Full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HD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9B2E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2AF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AA2435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CE9E" w14:textId="77777777" w:rsidR="001C07AF" w:rsidRPr="00B74D35" w:rsidRDefault="001C07A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A6D" w14:textId="77777777" w:rsidR="001C07AF" w:rsidRDefault="001C07AF" w:rsidP="003B3A53">
            <w:pPr>
              <w:rPr>
                <w:rFonts w:asciiTheme="minorHAnsi" w:hAnsiTheme="minorHAnsi" w:cstheme="minorHAnsi"/>
                <w:sz w:val="20"/>
              </w:rPr>
            </w:pPr>
            <w:r w:rsidRPr="00F01632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Monitor medyczny 4K min.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55</w:t>
            </w:r>
            <w:r w:rsidRPr="00F01632">
              <w:rPr>
                <w:rFonts w:asciiTheme="minorHAnsi" w:hAnsiTheme="minorHAnsi" w:cstheme="minorHAnsi"/>
                <w:b/>
                <w:sz w:val="20"/>
                <w:highlight w:val="lightGray"/>
              </w:rPr>
              <w:t>”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na wózku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826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776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BDE892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59A5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962" w14:textId="77777777" w:rsidR="001C07AF" w:rsidRPr="00F0163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01632">
              <w:rPr>
                <w:rFonts w:ascii="Calibri" w:hAnsi="Calibri" w:cs="Calibri"/>
                <w:sz w:val="20"/>
                <w:szCs w:val="22"/>
              </w:rPr>
              <w:t>Rozmiar matrycy min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F01632">
              <w:rPr>
                <w:rFonts w:ascii="Calibri" w:hAnsi="Calibri" w:cs="Calibri"/>
                <w:sz w:val="20"/>
                <w:szCs w:val="22"/>
              </w:rPr>
              <w:t xml:space="preserve"> 55”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114B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908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655F87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8CEE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D69" w14:textId="77777777" w:rsidR="001C07AF" w:rsidRPr="00F0163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01632">
              <w:rPr>
                <w:rFonts w:ascii="Calibri" w:hAnsi="Calibri" w:cs="Calibri"/>
                <w:sz w:val="20"/>
                <w:szCs w:val="22"/>
              </w:rPr>
              <w:t>Rozdzielczość min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F01632">
              <w:rPr>
                <w:rFonts w:ascii="Calibri" w:hAnsi="Calibri" w:cs="Calibri"/>
                <w:sz w:val="20"/>
                <w:szCs w:val="22"/>
              </w:rPr>
              <w:t xml:space="preserve"> 3840x2160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4503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654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0B123A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C07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B51F" w14:textId="77777777" w:rsidR="001C07AF" w:rsidRPr="00F0163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01632">
              <w:rPr>
                <w:rFonts w:ascii="Calibri" w:hAnsi="Calibri" w:cs="Calibri"/>
                <w:sz w:val="20"/>
                <w:szCs w:val="22"/>
              </w:rPr>
              <w:t>Stosunek boków obrazu 16:9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322B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4F2C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427CF08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8665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F4A" w14:textId="77777777" w:rsidR="001C07AF" w:rsidRPr="00F0163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01632">
              <w:rPr>
                <w:rFonts w:ascii="Calibri" w:hAnsi="Calibri" w:cs="Calibri"/>
                <w:sz w:val="20"/>
                <w:szCs w:val="22"/>
              </w:rPr>
              <w:t>Współczynnik kontrastu 1.000.000:1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D3FA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10pkt.</w:t>
            </w:r>
          </w:p>
          <w:p w14:paraId="5A500A2A" w14:textId="77777777" w:rsidR="001C07AF" w:rsidRPr="00F23C8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E01F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418C7D4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BFC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4AD1" w14:textId="77777777" w:rsidR="001C07AF" w:rsidRPr="00F0163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01632">
              <w:rPr>
                <w:rFonts w:ascii="Calibri" w:hAnsi="Calibri" w:cs="Calibri"/>
                <w:sz w:val="20"/>
                <w:szCs w:val="22"/>
              </w:rPr>
              <w:t xml:space="preserve">Jasność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min. </w:t>
            </w:r>
            <w:r w:rsidRPr="00F01632">
              <w:rPr>
                <w:rFonts w:ascii="Calibri" w:hAnsi="Calibri" w:cs="Calibri"/>
                <w:sz w:val="20"/>
                <w:szCs w:val="22"/>
              </w:rPr>
              <w:t>550 cd/m2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65A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EDE7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4CC7D0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D5C6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E39F" w14:textId="77777777" w:rsidR="001C07AF" w:rsidRPr="00F0163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01632">
              <w:rPr>
                <w:rFonts w:ascii="Calibri" w:hAnsi="Calibri" w:cs="Calibri"/>
                <w:sz w:val="20"/>
                <w:szCs w:val="22"/>
              </w:rPr>
              <w:t>Funkcje: PIP, POP, obrót, wzmocnienie obrazu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AAB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CF2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3B6F2F0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2E8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B534" w14:textId="77777777" w:rsidR="001C07AF" w:rsidRPr="00F0163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01632">
              <w:rPr>
                <w:rFonts w:ascii="Calibri" w:hAnsi="Calibri" w:cs="Calibri"/>
                <w:sz w:val="20"/>
                <w:szCs w:val="22"/>
              </w:rPr>
              <w:t>Monitor wyposażony w funkcję HDR pozwalającą lepiej odtwarzać obrazy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01632">
              <w:rPr>
                <w:rFonts w:ascii="Calibri" w:hAnsi="Calibri" w:cs="Calibri"/>
                <w:sz w:val="20"/>
                <w:szCs w:val="22"/>
              </w:rPr>
              <w:t>realistyczne zwiększając uchwyceni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e </w:t>
            </w:r>
            <w:r w:rsidRPr="00F01632">
              <w:rPr>
                <w:rFonts w:ascii="Calibri" w:hAnsi="Calibri" w:cs="Calibri"/>
                <w:sz w:val="20"/>
                <w:szCs w:val="22"/>
              </w:rPr>
              <w:t>szczegółów w jasnych i ciemnych obszarach obrazu, wpływając na lepszą diagnostykę zmian w obrębie badanej tkanki.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6B33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10pkt.</w:t>
            </w:r>
          </w:p>
          <w:p w14:paraId="3CEF5F2A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ADB7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DE0CE0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034E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B4B" w14:textId="77777777" w:rsidR="001C07AF" w:rsidRPr="00F0163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01632">
              <w:rPr>
                <w:rFonts w:ascii="Calibri" w:hAnsi="Calibri" w:cs="Calibri"/>
                <w:sz w:val="20"/>
                <w:szCs w:val="22"/>
              </w:rPr>
              <w:t xml:space="preserve">Monitor wyposażony w funkcję tzw. </w:t>
            </w:r>
            <w:proofErr w:type="spellStart"/>
            <w:r w:rsidRPr="00F01632">
              <w:rPr>
                <w:rFonts w:ascii="Calibri" w:hAnsi="Calibri" w:cs="Calibri"/>
                <w:sz w:val="20"/>
                <w:szCs w:val="22"/>
              </w:rPr>
              <w:t>Upscalingu</w:t>
            </w:r>
            <w:proofErr w:type="spellEnd"/>
            <w:r w:rsidRPr="00F01632">
              <w:rPr>
                <w:rFonts w:ascii="Calibri" w:hAnsi="Calibri" w:cs="Calibri"/>
                <w:sz w:val="20"/>
                <w:szCs w:val="22"/>
              </w:rPr>
              <w:t xml:space="preserve"> HD/SD do 4K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B2C9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8A49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036CD5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B79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8776" w14:textId="77777777" w:rsidR="001C07AF" w:rsidRPr="00D37853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01632">
              <w:rPr>
                <w:rFonts w:ascii="Calibri" w:hAnsi="Calibri" w:cs="Calibri"/>
                <w:sz w:val="20"/>
                <w:szCs w:val="22"/>
              </w:rPr>
              <w:t xml:space="preserve">Wejścia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min. </w:t>
            </w:r>
            <w:r w:rsidRPr="00D37853">
              <w:rPr>
                <w:rFonts w:ascii="Calibri" w:hAnsi="Calibri" w:cs="Calibri"/>
                <w:sz w:val="20"/>
                <w:szCs w:val="22"/>
              </w:rPr>
              <w:t xml:space="preserve">HDMI, DVI-D, 12G/3G/HD-SDI </w:t>
            </w:r>
            <w:r>
              <w:rPr>
                <w:rFonts w:ascii="Calibri" w:hAnsi="Calibri" w:cs="Calibri"/>
                <w:sz w:val="20"/>
                <w:szCs w:val="22"/>
              </w:rPr>
              <w:t>(lub inne umożliwiające transfer 4K).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725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FB42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566E9C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5EB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0FE4" w14:textId="77777777" w:rsidR="001C07AF" w:rsidRPr="00F01632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F23C8F">
              <w:rPr>
                <w:rFonts w:ascii="Calibri" w:hAnsi="Calibri" w:cs="Calibri"/>
                <w:sz w:val="20"/>
                <w:szCs w:val="22"/>
              </w:rPr>
              <w:t>Wyjścia min: 12G/3G/HD-SDI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(lub inne umożliwiające transfer 4K) oraz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 złącze wyjścia klonowania umożliwiające wyjście tego samego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obrazu jaki jest wyświetlany na monitorze</w:t>
            </w:r>
            <w:r>
              <w:rPr>
                <w:rFonts w:ascii="Calibri" w:hAnsi="Calibri" w:cs="Calibri"/>
                <w:sz w:val="20"/>
                <w:szCs w:val="22"/>
              </w:rPr>
              <w:t>, po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zwala</w:t>
            </w:r>
            <w:r>
              <w:rPr>
                <w:rFonts w:ascii="Calibri" w:hAnsi="Calibri" w:cs="Calibri"/>
                <w:sz w:val="20"/>
                <w:szCs w:val="22"/>
              </w:rPr>
              <w:t>jące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 na łatwe nagrywanie dokładnie tej samej treści co wy</w:t>
            </w:r>
            <w:bookmarkStart w:id="0" w:name="_GoBack"/>
            <w:bookmarkEnd w:id="0"/>
            <w:r w:rsidRPr="00F23C8F">
              <w:rPr>
                <w:rFonts w:ascii="Calibri" w:hAnsi="Calibri" w:cs="Calibri"/>
                <w:sz w:val="20"/>
                <w:szCs w:val="22"/>
              </w:rPr>
              <w:t>świetlana. Możliwość wyboru rozdzielczości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 xml:space="preserve">wyjścia klonowania: 4K lub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Full </w:t>
            </w:r>
            <w:r w:rsidRPr="00F23C8F">
              <w:rPr>
                <w:rFonts w:ascii="Calibri" w:hAnsi="Calibri" w:cs="Calibri"/>
                <w:sz w:val="20"/>
                <w:szCs w:val="22"/>
              </w:rPr>
              <w:t>HD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8E86" w14:textId="77777777" w:rsidR="001C07AF" w:rsidRDefault="001C07AF" w:rsidP="003B3A53">
            <w:pPr>
              <w:jc w:val="center"/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55A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5C1B192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7CA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65EC" w14:textId="791AEF32" w:rsidR="001C07AF" w:rsidRPr="00F23C8F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Wózek jezdny do oferowanego monitora min. 5</w:t>
            </w:r>
            <w:r w:rsidR="00E378A1">
              <w:rPr>
                <w:rFonts w:ascii="Calibri" w:hAnsi="Calibri" w:cs="Calibri"/>
                <w:sz w:val="20"/>
                <w:szCs w:val="22"/>
              </w:rPr>
              <w:t>4</w:t>
            </w:r>
            <w:r>
              <w:rPr>
                <w:rFonts w:ascii="Calibri" w:hAnsi="Calibri" w:cs="Calibri"/>
                <w:sz w:val="20"/>
                <w:szCs w:val="22"/>
              </w:rPr>
              <w:t>”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E8A6" w14:textId="77777777" w:rsidR="001C07AF" w:rsidRPr="005F5C8B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00F2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6204B6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EEAD" w14:textId="77777777" w:rsidR="001C07AF" w:rsidRPr="00B74D35" w:rsidRDefault="001C07A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B14" w14:textId="77777777" w:rsidR="001C07AF" w:rsidRPr="00F01632" w:rsidRDefault="001C07AF" w:rsidP="003B3A53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160A6C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kamery 4K CMOS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7C01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EC1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B5C7CA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F6AC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F8EE" w14:textId="77777777" w:rsidR="001C07AF" w:rsidRPr="00160A6C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60A6C">
              <w:rPr>
                <w:rFonts w:ascii="Calibri" w:hAnsi="Calibri" w:cs="Calibri"/>
                <w:color w:val="000000"/>
                <w:sz w:val="20"/>
                <w:szCs w:val="22"/>
              </w:rPr>
              <w:t>Kompatybilna z technologią optyczno-cyfrową blokującą pasmo czerwone w widmie światła białego oraz trybem IR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9123" w14:textId="77777777" w:rsidR="001C07AF" w:rsidRDefault="001C07AF" w:rsidP="003B3A53">
            <w:pPr>
              <w:jc w:val="center"/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BAEA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8F61D2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2E5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A95" w14:textId="77777777" w:rsidR="001C07AF" w:rsidRPr="00160A6C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P</w:t>
            </w:r>
            <w:r w:rsidRPr="00160A6C">
              <w:rPr>
                <w:rFonts w:ascii="Calibri" w:hAnsi="Calibri" w:cs="Calibri"/>
                <w:color w:val="000000"/>
                <w:sz w:val="20"/>
                <w:szCs w:val="22"/>
              </w:rPr>
              <w:t>rogramowalne przyciski funkcyjne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33A" w14:textId="77777777" w:rsidR="001C07AF" w:rsidRDefault="001C07AF" w:rsidP="003B3A53">
            <w:pPr>
              <w:jc w:val="center"/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04C1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798B5C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48F9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B70" w14:textId="77777777" w:rsidR="001C07AF" w:rsidRPr="00160A6C" w:rsidRDefault="001C07AF" w:rsidP="003B3A53">
            <w:pPr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2A0C58">
              <w:rPr>
                <w:rFonts w:ascii="Calibri" w:hAnsi="Calibri" w:cs="Calibri"/>
                <w:sz w:val="20"/>
                <w:szCs w:val="22"/>
              </w:rPr>
              <w:t xml:space="preserve">Funkcja jednodotykowego AUTOFOCUS (AF) i funkcja ciągłego trybu AUTOFOCUS (C-AF) dla utrzymania ciągłej ostrości obrazu bez konieczności jej poprawiania po każdym ruchu kamery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AF81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10pkt.</w:t>
            </w:r>
          </w:p>
          <w:p w14:paraId="29E7BD35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FD3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512D58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D7F4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6482" w14:textId="77777777" w:rsidR="001C07AF" w:rsidRPr="00160A6C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Funkcja</w:t>
            </w:r>
            <w:r w:rsidRPr="00160A6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regulacji ostrości dedykowanymi przyciskami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A42" w14:textId="77777777" w:rsidR="001C07AF" w:rsidRDefault="001C07AF" w:rsidP="003B3A53">
            <w:pPr>
              <w:jc w:val="center"/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29B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64608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E8B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D73" w14:textId="77777777" w:rsidR="001C07AF" w:rsidRPr="00160A6C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60A6C">
              <w:rPr>
                <w:rFonts w:ascii="Calibri" w:hAnsi="Calibri" w:cs="Calibri"/>
                <w:color w:val="000000"/>
                <w:sz w:val="20"/>
                <w:szCs w:val="22"/>
              </w:rPr>
              <w:t>Możliwość współpracy z optykami ze standardowym przyłączem okularowym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6C09" w14:textId="77777777" w:rsidR="001C07AF" w:rsidRDefault="001C07AF" w:rsidP="003B3A53">
            <w:pPr>
              <w:jc w:val="center"/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524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DD95EE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7279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7C20" w14:textId="77777777" w:rsidR="001C07AF" w:rsidRPr="00160A6C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60A6C">
              <w:rPr>
                <w:rFonts w:ascii="Calibri" w:hAnsi="Calibri" w:cs="Calibri"/>
                <w:color w:val="000000"/>
                <w:sz w:val="20"/>
                <w:szCs w:val="22"/>
              </w:rPr>
              <w:t>Zoom cyfrowy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AE52" w14:textId="77777777" w:rsidR="001C07AF" w:rsidRDefault="001C07AF" w:rsidP="003B3A53">
            <w:pPr>
              <w:jc w:val="center"/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3956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F13768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8269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C80" w14:textId="77777777" w:rsidR="001C07AF" w:rsidRPr="00160A6C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60A6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Przewód o długości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co najmniej </w:t>
            </w:r>
            <w:r w:rsidRPr="00160A6C">
              <w:rPr>
                <w:rFonts w:ascii="Calibri" w:hAnsi="Calibri" w:cs="Calibri"/>
                <w:color w:val="000000"/>
                <w:sz w:val="20"/>
                <w:szCs w:val="22"/>
              </w:rPr>
              <w:t>3 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9D7" w14:textId="77777777" w:rsidR="001C07AF" w:rsidRDefault="001C07AF" w:rsidP="003B3A53">
            <w:pPr>
              <w:jc w:val="center"/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A4F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51F4EC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9746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3E09" w14:textId="77777777" w:rsidR="001C07AF" w:rsidRPr="00160A6C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60A6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Waga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do 300</w:t>
            </w:r>
            <w:r w:rsidRPr="00160A6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9E6F" w14:textId="77777777" w:rsidR="001C07AF" w:rsidRDefault="001C07AF" w:rsidP="003B3A53">
            <w:pPr>
              <w:jc w:val="center"/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E6E3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AE3F1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30F6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3332" w14:textId="77777777" w:rsidR="001C07AF" w:rsidRPr="00160A6C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60A6C">
              <w:rPr>
                <w:rFonts w:ascii="Calibri" w:hAnsi="Calibri" w:cs="Calibri"/>
                <w:color w:val="000000"/>
                <w:sz w:val="20"/>
                <w:szCs w:val="22"/>
              </w:rPr>
              <w:t>Całkowicie zanurzalna w środku dezynfekcyjnym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D94F" w14:textId="77777777" w:rsidR="001C07AF" w:rsidRDefault="001C07AF" w:rsidP="003B3A53">
            <w:pPr>
              <w:jc w:val="center"/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4DD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0B3311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F36" w14:textId="77777777" w:rsidR="001C07AF" w:rsidRPr="00B74D35" w:rsidRDefault="001C07A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578" w14:textId="77777777" w:rsidR="001C07AF" w:rsidRPr="00160A6C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Theme="minorHAnsi" w:hAnsiTheme="minorHAnsi" w:cstheme="minorHAnsi"/>
                <w:b/>
                <w:sz w:val="20"/>
                <w:highlight w:val="lightGray"/>
              </w:rPr>
              <w:t>Światłowód do optyk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480B" w14:textId="77777777" w:rsidR="001C07AF" w:rsidRDefault="001C07AF" w:rsidP="003B3A53">
            <w:pPr>
              <w:jc w:val="center"/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93C1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81022C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7733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C71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>Światłowód do optyk/endoskopów o średnicy mniejszej lub równej 4,1 mm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F784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333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0FAE02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F491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5031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>Średnica wiązki 2,8mm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48D5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5D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1FDDC0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B759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4E2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>Średnica zewnętrzna 6,8mm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AABD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04A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4D95411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BE1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E334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Długość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min. </w:t>
            </w: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>3m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FAEA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F41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D97F61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196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31EC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Waga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do </w:t>
            </w: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40</w:t>
            </w: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>g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371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D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97DD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4277B45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A80D" w14:textId="77777777" w:rsidR="001C07AF" w:rsidRPr="00932002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DBAF" w14:textId="77777777" w:rsidR="001C07AF" w:rsidRPr="00932002" w:rsidRDefault="001C07AF" w:rsidP="003B3A5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932002"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>Wideoenoskop</w:t>
            </w:r>
            <w:proofErr w:type="spellEnd"/>
            <w:r w:rsidRPr="00932002"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 xml:space="preserve"> z giętką końcówką, średnica 5,4 mm, długość robocza 370 mm, pole widzenia 85 stopni. W zestawie: nasadka do sterylizacji, tester szczelności, </w:t>
            </w:r>
            <w:proofErr w:type="spellStart"/>
            <w:r w:rsidRPr="00932002"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>introduktor</w:t>
            </w:r>
            <w:proofErr w:type="spellEnd"/>
            <w:r w:rsidRPr="00932002"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 xml:space="preserve"> do trokara, szczoteczka do czyszczenia</w:t>
            </w:r>
            <w:r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 xml:space="preserve"> – 1 sztuka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7DB3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20pkt.</w:t>
            </w:r>
          </w:p>
          <w:p w14:paraId="013B0D8E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5AD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6DD379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DE6" w14:textId="77777777" w:rsidR="001C07AF" w:rsidRPr="00612D65" w:rsidRDefault="001C07A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E533" w14:textId="77777777" w:rsidR="001C07AF" w:rsidRPr="00932002" w:rsidRDefault="001C07AF" w:rsidP="003B3A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highlight w:val="lightGray"/>
              </w:rPr>
              <w:t>Wideoendoskop (fiberoskop) zabiegowy CCD z kanałem roboczym do usuwania ciał obcych, biopsji itd. – 3 sztuki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8230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28CE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DF041A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2E2B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00F0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Pole widzenia 90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°</w:t>
            </w: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BE71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EB49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4B4FC6B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D630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AE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Głębia widzenia 2-50mm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C2A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8A4F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98DEB8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9E3D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6281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Śr. końcówki 4,8 mm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A843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CB10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B78B47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F51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EE0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Śr. sondy 4,9 mm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C929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EF1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3F343A2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2F2A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ADD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Dł. robocza 365 mm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ACBF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AC6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4862A65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8552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4BD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Śr. kanału roboczego 2 mm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A5A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AC6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C28F43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D7A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5AF1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Dł. całkowita 645 mm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9D2E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A815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D5682D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9980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B444" w14:textId="77777777" w:rsidR="001C07AF" w:rsidRPr="00932002" w:rsidRDefault="001C07AF" w:rsidP="003B3A53">
            <w:pPr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495A01">
              <w:rPr>
                <w:rFonts w:ascii="Calibri" w:hAnsi="Calibri" w:cs="Calibri"/>
                <w:sz w:val="20"/>
                <w:szCs w:val="22"/>
              </w:rPr>
              <w:t>Zagięcie końcówki góra/dół 130st oraz prawo/lewo 70 stopni dla bezpiecznego pozycjonowania końcówki i wysokiej ergonomii użytkowania bez konieczności manualnej manipulacji całym endoskopem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C6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10pkt.</w:t>
            </w:r>
          </w:p>
          <w:p w14:paraId="21A5C399" w14:textId="77777777" w:rsidR="001C07AF" w:rsidRDefault="001C07AF" w:rsidP="003B3A53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E3C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CFAD9A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370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C7A8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>Kierunek patrzenia 0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34F3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B9A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DAD5A9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5AF3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059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>Endoskop wyposażony w przyciski funkcyjne, programowalne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5886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6D9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4A1CA5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7C7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B6FC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Endoskop kompatybilny z funkcją obrazowania w wąskim paśmie światła NBI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A549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9CCA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9B96D9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0CD5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FFF3" w14:textId="77777777" w:rsidR="001C07AF" w:rsidRPr="00932002" w:rsidRDefault="001C07AF" w:rsidP="003B3A53">
            <w:pPr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495A01">
              <w:rPr>
                <w:rFonts w:ascii="Calibri" w:hAnsi="Calibri" w:cs="Calibri"/>
                <w:sz w:val="20"/>
                <w:szCs w:val="22"/>
              </w:rPr>
              <w:t>Możliwość użycia w zabiegach laserowych i badaniach stroboskopowych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C70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10pkt.</w:t>
            </w:r>
          </w:p>
          <w:p w14:paraId="5EEF5263" w14:textId="77777777" w:rsidR="001C07AF" w:rsidRDefault="001C07AF" w:rsidP="003B3A53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7AB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AF18A1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CB63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248" w14:textId="77777777" w:rsidR="001C07AF" w:rsidRPr="00932002" w:rsidRDefault="001C07AF" w:rsidP="003B3A5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32002">
              <w:rPr>
                <w:rFonts w:ascii="Calibri" w:hAnsi="Calibri" w:cs="Calibri"/>
                <w:color w:val="000000"/>
                <w:sz w:val="20"/>
                <w:szCs w:val="22"/>
              </w:rPr>
              <w:t>Możliwość użycia instrumentów HF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4E2" w14:textId="77777777" w:rsidR="001C07AF" w:rsidRDefault="001C07AF" w:rsidP="003B3A53">
            <w:pPr>
              <w:jc w:val="center"/>
            </w:pPr>
            <w:r w:rsidRPr="00EB36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2E57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29B77E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3699" w14:textId="77777777" w:rsidR="001C07AF" w:rsidRPr="00B74D35" w:rsidRDefault="001C07A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65E0" w14:textId="77777777" w:rsidR="001C07AF" w:rsidRPr="00612D65" w:rsidRDefault="001C07AF" w:rsidP="003B3A53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612D65"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>Wideoendoskop HD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highlight w:val="lightGray"/>
              </w:rPr>
              <w:t xml:space="preserve"> (fiberoskop) – 1 sztuka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F121" w14:textId="77777777" w:rsidR="001C07AF" w:rsidRPr="00EB362C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603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5C51102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9C15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B6D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Wideoendoskop CCD HDTV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0B9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0CD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5E3BE53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C557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E0A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Pole widzenia 110</w:t>
            </w:r>
            <w:r>
              <w:rPr>
                <w:rFonts w:ascii="Calibri" w:hAnsi="Calibri" w:cs="Calibri"/>
                <w:sz w:val="20"/>
                <w:szCs w:val="22"/>
              </w:rPr>
              <w:t>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1C1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7713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3508CA9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B270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585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Głębia widzenia 5-50mm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9932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F0C0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BD864E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E32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EC1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Śr. Końcówki dystalnej 3,9 mm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3F8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C54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8E589B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1D88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DC39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Śr. sondy 3,6 mm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4D2C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8259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59CE773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1536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963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Dł. robocza 300 mm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93D4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F0A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729BAA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9175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27D8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Dł. całkowita 500 mm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6A5A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337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58132A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734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FE1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Zagięcie końcówki góra/dół 130</w:t>
            </w:r>
            <w:r>
              <w:rPr>
                <w:rFonts w:ascii="Calibri" w:hAnsi="Calibri" w:cs="Calibri"/>
                <w:sz w:val="20"/>
                <w:szCs w:val="22"/>
              </w:rPr>
              <w:t>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7A59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797A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54586CA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421A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CEF0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Endoskop wyposażony w przyciski funkcyjne, programowalne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1D1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699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2223DE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13EF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AD04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Kierunek patrzenia 0</w:t>
            </w:r>
            <w:r>
              <w:rPr>
                <w:rFonts w:ascii="Calibri" w:hAnsi="Calibri" w:cs="Calibri"/>
                <w:sz w:val="20"/>
                <w:szCs w:val="22"/>
              </w:rPr>
              <w:t>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939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6771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36F8B23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B23E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EC1D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Końcówka dystalna endoskopu przezroczysta</w:t>
            </w:r>
            <w:r>
              <w:rPr>
                <w:rFonts w:ascii="Calibri" w:hAnsi="Calibri" w:cs="Calibri"/>
                <w:sz w:val="20"/>
                <w:szCs w:val="22"/>
              </w:rPr>
              <w:t>,</w:t>
            </w:r>
            <w:r w:rsidRPr="00612D65">
              <w:rPr>
                <w:rFonts w:ascii="Calibri" w:hAnsi="Calibri" w:cs="Calibri"/>
                <w:sz w:val="20"/>
                <w:szCs w:val="22"/>
              </w:rPr>
              <w:t xml:space="preserve"> aby zapewnić rozszerzenie wiązki światła i maksymalne oświetlenia badanej tkanki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B32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BA7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D85465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AFA3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C7B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Format obrazu 16x9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A5B8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7848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657F1EE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2575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FFFF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 w:rsidRPr="00612D65">
              <w:rPr>
                <w:rFonts w:ascii="Calibri" w:hAnsi="Calibri" w:cs="Calibri"/>
                <w:sz w:val="20"/>
                <w:szCs w:val="22"/>
              </w:rPr>
              <w:t>Endoskop kompatybilny z funkcją obrazowania w wąskim paśmie światła.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DBA4" w14:textId="77777777" w:rsidR="001C07AF" w:rsidRDefault="001C07AF" w:rsidP="003B3A53">
            <w:pPr>
              <w:jc w:val="center"/>
            </w:pPr>
            <w:r w:rsidRPr="00672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BC0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77A1247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38E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2949" w14:textId="77777777" w:rsidR="001C07AF" w:rsidRPr="00612D65" w:rsidRDefault="001C07AF" w:rsidP="003B3A53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R</w:t>
            </w:r>
            <w:r w:rsidRPr="00612D65">
              <w:rPr>
                <w:rFonts w:ascii="Calibri" w:hAnsi="Calibri" w:cs="Calibri"/>
                <w:sz w:val="20"/>
                <w:szCs w:val="22"/>
              </w:rPr>
              <w:t>ączka typu pistoletowego o obniżonej wadze w stosunku do klasycznych uchwytów, pozwalająca na swobodne trzymanie rąk operatora niżej, przy ciele, z bezpiecznym pozycjonowaniem końcówki i optymalną ergonomią użytkowania.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A22B" w14:textId="77777777" w:rsidR="001C07AF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5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5 pkt.</w:t>
            </w:r>
          </w:p>
          <w:p w14:paraId="05F844DC" w14:textId="77777777" w:rsidR="001C07AF" w:rsidRPr="00EB362C" w:rsidRDefault="001C07AF" w:rsidP="003B3A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5B81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4E3EEB4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3FA4" w14:textId="77777777" w:rsidR="001C07AF" w:rsidRPr="00B74D35" w:rsidRDefault="001C07A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20" w14:textId="77777777" w:rsidR="001C07AF" w:rsidRPr="00F71C35" w:rsidRDefault="001C07AF" w:rsidP="003B3A5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71C35">
              <w:rPr>
                <w:rFonts w:asciiTheme="minorHAnsi" w:hAnsiTheme="minorHAnsi" w:cstheme="minorHAnsi"/>
                <w:b/>
                <w:sz w:val="20"/>
                <w:highlight w:val="lightGray"/>
              </w:rPr>
              <w:t>Pozostałe wyposażenie toru wizyjnego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BBB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E10F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30BDD5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258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05D" w14:textId="77777777" w:rsidR="001C07AF" w:rsidRPr="00F71C35" w:rsidRDefault="001C07AF" w:rsidP="003B3A53">
            <w:pPr>
              <w:rPr>
                <w:rFonts w:asciiTheme="minorHAnsi" w:hAnsiTheme="minorHAnsi" w:cstheme="minorHAnsi"/>
                <w:sz w:val="20"/>
              </w:rPr>
            </w:pPr>
            <w:r w:rsidRPr="00F71C35">
              <w:rPr>
                <w:rFonts w:asciiTheme="minorHAnsi" w:hAnsiTheme="minorHAnsi" w:cstheme="minorHAnsi"/>
                <w:sz w:val="20"/>
              </w:rPr>
              <w:t>Kontener z pokrywą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71C35">
              <w:rPr>
                <w:rFonts w:asciiTheme="minorHAnsi" w:hAnsiTheme="minorHAnsi" w:cstheme="minorHAnsi"/>
                <w:sz w:val="20"/>
              </w:rPr>
              <w:t>do sterylizacji niskotemperaturowej fiberoskopów</w:t>
            </w:r>
            <w:r>
              <w:rPr>
                <w:rFonts w:asciiTheme="minorHAnsi" w:hAnsiTheme="minorHAnsi" w:cstheme="minorHAnsi"/>
                <w:sz w:val="20"/>
              </w:rPr>
              <w:t xml:space="preserve"> z poz.66-92.</w:t>
            </w:r>
            <w:r w:rsidRPr="00F71C3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F71C35">
              <w:rPr>
                <w:rFonts w:asciiTheme="minorHAnsi" w:hAnsiTheme="minorHAnsi" w:cstheme="minorHAnsi"/>
                <w:sz w:val="20"/>
              </w:rPr>
              <w:t xml:space="preserve">ymiary zewnętrzne </w:t>
            </w:r>
            <w:r>
              <w:rPr>
                <w:rFonts w:asciiTheme="minorHAnsi" w:hAnsiTheme="minorHAnsi" w:cstheme="minorHAnsi"/>
                <w:sz w:val="20"/>
              </w:rPr>
              <w:t xml:space="preserve">odpowiednie do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prawidłowego ułożenia fiberoskopów.</w:t>
            </w:r>
            <w:r w:rsidRPr="00F71C35">
              <w:rPr>
                <w:rFonts w:asciiTheme="minorHAnsi" w:hAnsiTheme="minorHAnsi" w:cstheme="minorHAnsi"/>
                <w:sz w:val="20"/>
              </w:rPr>
              <w:t xml:space="preserve"> Miejsce na przenośne źródło światła typu LED i inne akcesoria</w:t>
            </w:r>
            <w:r>
              <w:rPr>
                <w:rFonts w:asciiTheme="minorHAnsi" w:hAnsiTheme="minorHAnsi" w:cstheme="minorHAnsi"/>
                <w:sz w:val="20"/>
              </w:rPr>
              <w:t xml:space="preserve"> – 1 sztuka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F3D2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66E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BEAC6E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40B8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B9F2" w14:textId="77777777" w:rsidR="001C07AF" w:rsidRDefault="001C07AF" w:rsidP="003B3A53">
            <w:pPr>
              <w:rPr>
                <w:rFonts w:asciiTheme="minorHAnsi" w:hAnsiTheme="minorHAnsi" w:cstheme="minorHAnsi"/>
                <w:sz w:val="20"/>
              </w:rPr>
            </w:pPr>
            <w:r w:rsidRPr="00612D65">
              <w:rPr>
                <w:rFonts w:asciiTheme="minorHAnsi" w:hAnsiTheme="minorHAnsi" w:cstheme="minorHAnsi"/>
                <w:sz w:val="20"/>
              </w:rPr>
              <w:t xml:space="preserve">Kontener do sterylizacji </w:t>
            </w:r>
            <w:proofErr w:type="spellStart"/>
            <w:r w:rsidRPr="00612D65">
              <w:rPr>
                <w:rFonts w:asciiTheme="minorHAnsi" w:hAnsiTheme="minorHAnsi" w:cstheme="minorHAnsi"/>
                <w:sz w:val="20"/>
              </w:rPr>
              <w:t>wideoendoskopu</w:t>
            </w:r>
            <w:proofErr w:type="spellEnd"/>
            <w:r w:rsidRPr="00612D65">
              <w:rPr>
                <w:rFonts w:asciiTheme="minorHAnsi" w:hAnsiTheme="minorHAnsi" w:cstheme="minorHAnsi"/>
                <w:sz w:val="20"/>
              </w:rPr>
              <w:t xml:space="preserve"> z giętką końcówką </w:t>
            </w:r>
            <w:r>
              <w:rPr>
                <w:rFonts w:asciiTheme="minorHAnsi" w:hAnsiTheme="minorHAnsi" w:cstheme="minorHAnsi"/>
                <w:sz w:val="20"/>
              </w:rPr>
              <w:t xml:space="preserve">z poz. 65 </w:t>
            </w:r>
            <w:r w:rsidRPr="00612D65">
              <w:rPr>
                <w:rFonts w:asciiTheme="minorHAnsi" w:hAnsiTheme="minorHAnsi" w:cstheme="minorHAnsi"/>
                <w:sz w:val="20"/>
              </w:rPr>
              <w:t>o wymiarach odpowiedni</w:t>
            </w:r>
            <w:r>
              <w:rPr>
                <w:rFonts w:asciiTheme="minorHAnsi" w:hAnsiTheme="minorHAnsi" w:cstheme="minorHAnsi"/>
                <w:sz w:val="20"/>
              </w:rPr>
              <w:t>ch</w:t>
            </w:r>
            <w:r w:rsidRPr="00612D65">
              <w:rPr>
                <w:rFonts w:asciiTheme="minorHAnsi" w:hAnsiTheme="minorHAnsi" w:cstheme="minorHAnsi"/>
                <w:sz w:val="20"/>
              </w:rPr>
              <w:t xml:space="preserve"> do prawidłowego ułożenia fiberoskopów, z pokrywą</w:t>
            </w:r>
            <w:r>
              <w:rPr>
                <w:rFonts w:asciiTheme="minorHAnsi" w:hAnsiTheme="minorHAnsi" w:cstheme="minorHAnsi"/>
                <w:sz w:val="20"/>
              </w:rPr>
              <w:t xml:space="preserve"> – 1 sztuka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05B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8BEC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25B9E8C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9AE2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976" w14:textId="77777777" w:rsidR="001C07AF" w:rsidRPr="00F038E7" w:rsidRDefault="001C07AF" w:rsidP="003B3A53">
            <w:pPr>
              <w:rPr>
                <w:rFonts w:asciiTheme="minorHAnsi" w:hAnsiTheme="minorHAnsi" w:cstheme="minorHAnsi"/>
                <w:sz w:val="20"/>
              </w:rPr>
            </w:pPr>
            <w:r w:rsidRPr="00F038E7">
              <w:rPr>
                <w:rFonts w:asciiTheme="minorHAnsi" w:hAnsiTheme="minorHAnsi" w:cstheme="minorHAnsi"/>
                <w:sz w:val="20"/>
              </w:rPr>
              <w:t>Optyka krtaniowa 4 mm, kąt patrzenia 0 stopni, długość robocza 280,2 mm, pin zatrzaskowy. W zestawie tuba ochronna o długości 305 mm</w:t>
            </w:r>
            <w:r>
              <w:rPr>
                <w:rFonts w:asciiTheme="minorHAnsi" w:hAnsiTheme="minorHAnsi" w:cstheme="minorHAnsi"/>
                <w:sz w:val="20"/>
              </w:rPr>
              <w:t xml:space="preserve"> – 1 sztuka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0AC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826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419DC46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E24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F98" w14:textId="77777777" w:rsidR="001C07AF" w:rsidRPr="00F038E7" w:rsidRDefault="001C07AF" w:rsidP="003B3A53">
            <w:pPr>
              <w:rPr>
                <w:rFonts w:asciiTheme="minorHAnsi" w:hAnsiTheme="minorHAnsi" w:cstheme="minorHAnsi"/>
                <w:sz w:val="20"/>
              </w:rPr>
            </w:pPr>
            <w:r w:rsidRPr="00F038E7">
              <w:rPr>
                <w:rFonts w:asciiTheme="minorHAnsi" w:hAnsiTheme="minorHAnsi" w:cstheme="minorHAnsi"/>
                <w:sz w:val="20"/>
              </w:rPr>
              <w:t>Optyka 4 mm, kąt patrzenia 30 stopni, długość robocza 282,2 mm, pin zatrzaskowy. W zestawie tuba ochronna o długości 305 mm</w:t>
            </w:r>
            <w:r>
              <w:rPr>
                <w:rFonts w:asciiTheme="minorHAnsi" w:hAnsiTheme="minorHAnsi" w:cstheme="minorHAnsi"/>
                <w:sz w:val="20"/>
              </w:rPr>
              <w:t xml:space="preserve"> – 1 sztuka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9F02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B976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0548C44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EEA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F142" w14:textId="77777777" w:rsidR="001C07AF" w:rsidRPr="004D4825" w:rsidRDefault="001C07AF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 xml:space="preserve">Wózek do zaproponowanego systemu, w zestawie transformator 220-240V z odpowiednią ilością gniazd do podłączenia urządzeń, wyposażony w uchwyty boczne do przemieszczania w wózka, wyposażony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3</w:t>
            </w: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 xml:space="preserve"> półki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 xml:space="preserve"> szufladę, cztery kółka z hamulcami, uchwyt do wózka do przechowywania czystych </w:t>
            </w:r>
            <w:proofErr w:type="spellStart"/>
            <w:r w:rsidRPr="004D4825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4D4825">
              <w:rPr>
                <w:rFonts w:asciiTheme="minorHAnsi" w:hAnsiTheme="minorHAnsi" w:cstheme="minorHAnsi"/>
                <w:sz w:val="20"/>
                <w:szCs w:val="20"/>
              </w:rPr>
              <w:t xml:space="preserve">, uchwyt na głowicę kamery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 xml:space="preserve">amię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oferowany </w:t>
            </w:r>
            <w:r w:rsidRPr="004D4825"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min.31”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3A2E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E250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7AF" w:rsidRPr="00B74D35" w14:paraId="1D3E2DD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6CAB" w14:textId="77777777" w:rsidR="001C07AF" w:rsidRPr="00B74D35" w:rsidRDefault="001C07AF" w:rsidP="003B3A53">
            <w:pPr>
              <w:pStyle w:val="Akapitzlist"/>
              <w:numPr>
                <w:ilvl w:val="0"/>
                <w:numId w:val="4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C1E8" w14:textId="77777777" w:rsidR="001C07AF" w:rsidRPr="00691E6C" w:rsidRDefault="001C07AF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D72" w14:textId="77777777" w:rsidR="001C07AF" w:rsidRDefault="001C07A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81ED" w14:textId="77777777" w:rsidR="001C07AF" w:rsidRPr="00B74D35" w:rsidRDefault="001C07A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570D17D" w14:textId="77777777" w:rsidR="001C07AF" w:rsidRPr="00B74D35" w:rsidRDefault="001C07AF" w:rsidP="001C07AF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421A073" w14:textId="77777777" w:rsidR="001C07AF" w:rsidRPr="00B74D35" w:rsidRDefault="001C07AF" w:rsidP="001C07AF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19150EF5" w14:textId="77777777" w:rsidR="001C07AF" w:rsidRPr="00B74D35" w:rsidRDefault="001C07AF" w:rsidP="001C07AF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57EB82CD" w14:textId="77777777" w:rsidR="001C07AF" w:rsidRDefault="001C07AF" w:rsidP="001C07AF"/>
    <w:p w14:paraId="0105DC5A" w14:textId="77777777" w:rsidR="001C07AF" w:rsidRDefault="001C07AF" w:rsidP="001C07A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E30F0F" w14:textId="77777777" w:rsidR="001C07AF" w:rsidRDefault="001C07AF" w:rsidP="001C07A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C58C4B" w14:textId="77777777" w:rsidR="001C07AF" w:rsidRDefault="001C07AF" w:rsidP="001C07A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AA3D005" w14:textId="77777777" w:rsidR="001C07AF" w:rsidRDefault="001C07AF" w:rsidP="001C07A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702131" w14:textId="77777777" w:rsidR="001C07AF" w:rsidRDefault="001C07AF" w:rsidP="001C07A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B61251" w14:textId="77777777" w:rsidR="001C07AF" w:rsidRDefault="001C07AF" w:rsidP="001C07A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A87027" w14:textId="77777777" w:rsidR="00E7594E" w:rsidRPr="001C07AF" w:rsidRDefault="00E7594E" w:rsidP="001C07AF"/>
    <w:sectPr w:rsidR="00E7594E" w:rsidRPr="001C07AF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3CFA" w14:textId="77777777" w:rsidR="00FA5AD0" w:rsidRDefault="00FA5AD0" w:rsidP="00FA5AD0">
      <w:r>
        <w:separator/>
      </w:r>
    </w:p>
  </w:endnote>
  <w:endnote w:type="continuationSeparator" w:id="0">
    <w:p w14:paraId="1F137F62" w14:textId="77777777" w:rsidR="00FA5AD0" w:rsidRDefault="00FA5AD0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A9846" w14:textId="77777777" w:rsidR="00FA5AD0" w:rsidRDefault="00FA5AD0" w:rsidP="00FA5AD0">
      <w:r>
        <w:separator/>
      </w:r>
    </w:p>
  </w:footnote>
  <w:footnote w:type="continuationSeparator" w:id="0">
    <w:p w14:paraId="48CCE150" w14:textId="77777777" w:rsidR="00FA5AD0" w:rsidRDefault="00FA5AD0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7C201AD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C07AF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66D49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877A1"/>
    <w:rsid w:val="00691E6C"/>
    <w:rsid w:val="006936F5"/>
    <w:rsid w:val="00695BE5"/>
    <w:rsid w:val="00696882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48FD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356E"/>
    <w:rsid w:val="00E378A1"/>
    <w:rsid w:val="00E4278E"/>
    <w:rsid w:val="00E43345"/>
    <w:rsid w:val="00E61CE3"/>
    <w:rsid w:val="00E63916"/>
    <w:rsid w:val="00E66BDB"/>
    <w:rsid w:val="00E71B23"/>
    <w:rsid w:val="00E74B3F"/>
    <w:rsid w:val="00E7594E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55B3-6819-4B24-B586-CBDD853D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2</cp:revision>
  <dcterms:created xsi:type="dcterms:W3CDTF">2023-04-21T10:50:00Z</dcterms:created>
  <dcterms:modified xsi:type="dcterms:W3CDTF">2023-04-21T10:50:00Z</dcterms:modified>
</cp:coreProperties>
</file>