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34106580"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49A0A510"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B73C81">
        <w:rPr>
          <w:rFonts w:asciiTheme="majorHAnsi" w:eastAsiaTheme="majorEastAsia" w:hAnsiTheme="majorHAnsi" w:cstheme="majorBidi"/>
          <w:caps/>
          <w:color w:val="632423" w:themeColor="accent2" w:themeShade="80"/>
          <w:spacing w:val="20"/>
          <w:lang w:eastAsia="en-US"/>
        </w:rPr>
        <w:t>6</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E32FD06" w14:textId="77777777" w:rsidR="002647BA" w:rsidRPr="00773D17" w:rsidRDefault="002647BA" w:rsidP="00C05ABE">
      <w:pPr>
        <w:jc w:val="center"/>
        <w:rPr>
          <w:rFonts w:asciiTheme="majorHAnsi" w:eastAsiaTheme="majorEastAsia" w:hAnsiTheme="majorHAnsi" w:cs="Arial"/>
          <w:b/>
          <w:lang w:eastAsia="en-US"/>
        </w:rPr>
      </w:pPr>
    </w:p>
    <w:p w14:paraId="529C495A" w14:textId="4D4B3906" w:rsidR="00AE5B52" w:rsidRDefault="002647BA"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 xml:space="preserve">Przebudowa drogi gminnej </w:t>
      </w:r>
      <w:r w:rsidR="00B73C81">
        <w:rPr>
          <w:rFonts w:asciiTheme="majorHAnsi" w:eastAsiaTheme="majorEastAsia" w:hAnsiTheme="majorHAnsi" w:cs="Arial"/>
          <w:b/>
          <w:caps/>
          <w:color w:val="943634" w:themeColor="accent2" w:themeShade="BF"/>
          <w:spacing w:val="10"/>
          <w:sz w:val="32"/>
          <w:lang w:eastAsia="en-US"/>
        </w:rPr>
        <w:t>nr 151126c ul. cegielna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3A1AE20C" w:rsidR="00F2599C" w:rsidRDefault="00B73C81"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22</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sidR="002647BA">
        <w:rPr>
          <w:rFonts w:asciiTheme="majorHAnsi" w:eastAsiaTheme="majorEastAsia" w:hAnsiTheme="majorHAnsi" w:cs="Arial"/>
          <w:bCs/>
          <w:lang w:eastAsia="en-US"/>
        </w:rPr>
        <w:t>3</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59D7776A" w14:textId="77777777" w:rsidR="00B73C81" w:rsidRDefault="00B73C81" w:rsidP="00F2599C">
      <w:pPr>
        <w:spacing w:line="252" w:lineRule="auto"/>
        <w:jc w:val="center"/>
        <w:rPr>
          <w:rFonts w:asciiTheme="majorHAnsi" w:eastAsiaTheme="majorEastAsia" w:hAnsiTheme="majorHAnsi" w:cs="Arial"/>
          <w:b/>
          <w:lang w:eastAsia="en-US"/>
        </w:rPr>
      </w:pP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279E15EA"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B73C81" w:rsidRPr="00B73C81">
        <w:rPr>
          <w:rFonts w:asciiTheme="majorHAnsi" w:eastAsiaTheme="majorEastAsia" w:hAnsiTheme="majorHAnsi" w:cstheme="majorBidi"/>
          <w:b/>
          <w:lang w:eastAsia="en-US"/>
        </w:rPr>
        <w:t>Przebudowa drogi gminnej nr 151126C ul. Cegielna w Gniewkowie</w:t>
      </w:r>
      <w:r w:rsidR="00B73C81">
        <w:rPr>
          <w:rFonts w:asciiTheme="majorHAnsi" w:eastAsiaTheme="majorEastAsia" w:hAnsiTheme="majorHAnsi" w:cstheme="majorBidi"/>
          <w:b/>
          <w:lang w:eastAsia="en-US"/>
        </w:rPr>
        <w:t>.</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741EF677"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B73C81" w:rsidRPr="00B73C81">
        <w:rPr>
          <w:rFonts w:asciiTheme="majorHAnsi" w:eastAsiaTheme="majorEastAsia" w:hAnsiTheme="majorHAnsi" w:cstheme="majorBidi"/>
          <w:b/>
          <w:lang w:eastAsia="en-US"/>
        </w:rPr>
        <w:t>Przebudowa drogi gminnej nr 151126C ul. Cegielna w Gniewkowie</w:t>
      </w:r>
      <w:r w:rsidR="00B73C81">
        <w:rPr>
          <w:rFonts w:asciiTheme="majorHAnsi" w:eastAsiaTheme="majorEastAsia" w:hAnsiTheme="majorHAnsi" w:cstheme="majorBidi"/>
          <w:b/>
          <w:lang w:eastAsia="en-US"/>
        </w:rPr>
        <w:t>.</w:t>
      </w:r>
    </w:p>
    <w:p w14:paraId="6076F9B7" w14:textId="1CF51027" w:rsidR="003D7AA1" w:rsidRPr="00B73C81" w:rsidRDefault="00175145" w:rsidP="00B73C81">
      <w:pPr>
        <w:pStyle w:val="Tekstpodstawowy"/>
        <w:numPr>
          <w:ilvl w:val="0"/>
          <w:numId w:val="61"/>
        </w:numPr>
        <w:spacing w:after="0"/>
        <w:ind w:left="284" w:hanging="284"/>
        <w:jc w:val="both"/>
        <w:rPr>
          <w:rFonts w:asciiTheme="majorHAnsi" w:hAnsiTheme="majorHAnsi"/>
          <w:b/>
          <w:lang w:val="x-none" w:eastAsia="x-none"/>
        </w:rPr>
      </w:pPr>
      <w:r w:rsidRPr="00B73C81">
        <w:rPr>
          <w:rFonts w:asciiTheme="majorHAnsi" w:eastAsiaTheme="majorEastAsia" w:hAnsiTheme="majorHAnsi" w:cstheme="majorBidi"/>
          <w:b/>
          <w:lang w:eastAsia="en-US"/>
        </w:rPr>
        <w:lastRenderedPageBreak/>
        <w:t>Krótki opis:</w:t>
      </w:r>
      <w:r w:rsidRPr="00B73C81">
        <w:rPr>
          <w:rFonts w:asciiTheme="majorHAnsi" w:eastAsiaTheme="majorEastAsia" w:hAnsiTheme="majorHAnsi" w:cstheme="majorBidi"/>
          <w:lang w:eastAsia="en-US"/>
        </w:rPr>
        <w:t xml:space="preserve"> </w:t>
      </w:r>
      <w:r w:rsidR="00B73C81" w:rsidRPr="00B73C81">
        <w:rPr>
          <w:rFonts w:asciiTheme="majorHAnsi" w:hAnsiTheme="majorHAnsi"/>
          <w:bCs/>
          <w:lang w:val="x-none" w:eastAsia="x-none"/>
        </w:rPr>
        <w:t>Przedmiotem zadania jest przebudowa drogi gminnej 151126C ul. Cegielna w Gniewkowie. Inwestycja zlokalizowana jest w województwie kujawsko-pomorskim, w powiecie inowrocławskim.</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Istniejąca droga na odcinku przebudowy posiada nawierzchnię szutrową/z destruktu istniejące nawierzchnie przeznaczone są do rozbiórki. W miejscach dojazdu do przyległych posesji zlokalizowane są zjazdy, w miejscach przecięcia z istniejącymi drogami – skrzyżowania. W stanie istniejącym w miejscu inwestycji występuje droga o szerokości około 4m wraz z lokalnymi poszerzeniami. Droga przebiega w terenie zabudowanym oraz przez tereny polne. Na przebudowanym odcinku poza ruchem samochodów osobowych występuje również ruch pieszych. Wody gruntowej nie nawiercono. Grunty bezpośrednio pod warstwy konstrukcji nawierzchni należy doprowadzić do klasy G1. Głębokość przemarzania podłoża wynosi 1,0m.</w:t>
      </w:r>
      <w:r w:rsidR="00B73C81" w:rsidRPr="00B73C81">
        <w:rPr>
          <w:rFonts w:asciiTheme="majorHAnsi" w:hAnsiTheme="majorHAnsi"/>
          <w:szCs w:val="20"/>
          <w:lang w:val="x-none" w:eastAsia="x-none"/>
        </w:rPr>
        <w:t xml:space="preserve"> </w:t>
      </w:r>
      <w:r w:rsidR="00B73C81" w:rsidRPr="00B73C81">
        <w:rPr>
          <w:rFonts w:asciiTheme="majorHAnsi" w:hAnsiTheme="majorHAnsi"/>
          <w:bCs/>
          <w:lang w:val="x-none" w:eastAsia="x-none"/>
        </w:rPr>
        <w:t>W ramach inwestycji drogowej planuje się wykonać w szczególności:</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roboty ziemne – wykonanie niwelacji terenu</w:t>
      </w:r>
      <w:r w:rsidR="00B73C81" w:rsidRPr="00B73C81">
        <w:rPr>
          <w:rFonts w:asciiTheme="majorHAnsi" w:hAnsiTheme="majorHAnsi"/>
          <w:bCs/>
          <w:lang w:eastAsia="x-none"/>
        </w:rPr>
        <w:t>;</w:t>
      </w:r>
      <w:r w:rsidR="00B73C81" w:rsidRPr="00B73C81">
        <w:rPr>
          <w:rFonts w:asciiTheme="majorHAnsi" w:hAnsiTheme="majorHAnsi"/>
          <w:bCs/>
          <w:lang w:val="x-none" w:eastAsia="x-none"/>
        </w:rPr>
        <w:t xml:space="preserve"> budowę kanału technologicznego</w:t>
      </w:r>
      <w:r w:rsidR="00B73C81" w:rsidRPr="00B73C81">
        <w:rPr>
          <w:rFonts w:asciiTheme="majorHAnsi" w:hAnsiTheme="majorHAnsi"/>
          <w:bCs/>
          <w:lang w:eastAsia="x-none"/>
        </w:rPr>
        <w:t>,</w:t>
      </w:r>
      <w:r w:rsidR="00B73C81" w:rsidRPr="00B73C81">
        <w:rPr>
          <w:rFonts w:asciiTheme="majorHAnsi" w:hAnsiTheme="majorHAnsi"/>
          <w:bCs/>
          <w:lang w:val="x-none" w:eastAsia="x-none"/>
        </w:rPr>
        <w:t xml:space="preserve"> budowę nawierzchni drogi</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 konstrukcja jezdni o parametrach wymaganych dla obciążenia 100kN; wykonanie oznakowania pionowego</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 xml:space="preserve">W projektowanym rozwiązaniu droga ma szerokość 5m z lokalnymi poszerzeniami, pobocza mają szerokość 0,75m. Parametry drogi : kategoria ruchu </w:t>
      </w:r>
      <w:r w:rsidR="00B73C81" w:rsidRPr="00B73C81">
        <w:rPr>
          <w:rFonts w:asciiTheme="majorHAnsi" w:hAnsiTheme="majorHAnsi"/>
          <w:bCs/>
          <w:lang w:eastAsia="x-none"/>
        </w:rPr>
        <w:t>K</w:t>
      </w:r>
      <w:r w:rsidR="00B73C81" w:rsidRPr="00B73C81">
        <w:rPr>
          <w:rFonts w:asciiTheme="majorHAnsi" w:hAnsiTheme="majorHAnsi"/>
          <w:bCs/>
          <w:lang w:val="x-none" w:eastAsia="x-none"/>
        </w:rPr>
        <w:t>R3, klasa drogi</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 xml:space="preserve">L, prędkość projektowa </w:t>
      </w:r>
      <w:proofErr w:type="spellStart"/>
      <w:r w:rsidR="00B73C81" w:rsidRPr="00B73C81">
        <w:rPr>
          <w:rFonts w:asciiTheme="majorHAnsi" w:hAnsiTheme="majorHAnsi"/>
          <w:bCs/>
          <w:lang w:val="x-none" w:eastAsia="x-none"/>
        </w:rPr>
        <w:t>Vpr</w:t>
      </w:r>
      <w:proofErr w:type="spellEnd"/>
      <w:r w:rsidR="00B73C81" w:rsidRPr="00B73C81">
        <w:rPr>
          <w:rFonts w:asciiTheme="majorHAnsi" w:hAnsiTheme="majorHAnsi"/>
          <w:bCs/>
          <w:lang w:val="x-none" w:eastAsia="x-none"/>
        </w:rPr>
        <w:t xml:space="preserve"> = 40 km/h, pochylenie poprzeczne jezdni </w:t>
      </w:r>
      <w:r w:rsidR="00B73C81" w:rsidRPr="00B73C81">
        <w:rPr>
          <w:rFonts w:asciiTheme="majorHAnsi" w:hAnsiTheme="majorHAnsi"/>
          <w:bCs/>
          <w:lang w:eastAsia="x-none"/>
        </w:rPr>
        <w:t>2</w:t>
      </w:r>
      <w:r w:rsidR="00B73C81" w:rsidRPr="00B73C81">
        <w:rPr>
          <w:rFonts w:asciiTheme="majorHAnsi" w:hAnsiTheme="majorHAnsi"/>
          <w:bCs/>
          <w:lang w:val="x-none" w:eastAsia="x-none"/>
        </w:rPr>
        <w:t>% jednostronne,. Konstrukcje nawierzchni bitumicznej drogi i zjazdów zaprojektowano z warstw: ścieralna z betonu asfaltowego AC11S</w:t>
      </w:r>
      <w:r w:rsidR="00B73C81" w:rsidRPr="00B73C81">
        <w:rPr>
          <w:rFonts w:asciiTheme="majorHAnsi" w:hAnsiTheme="majorHAnsi"/>
          <w:bCs/>
          <w:lang w:eastAsia="x-none"/>
        </w:rPr>
        <w:t xml:space="preserve"> </w:t>
      </w:r>
      <w:r w:rsidR="00B73C81" w:rsidRPr="00B73C81">
        <w:rPr>
          <w:rFonts w:asciiTheme="majorHAnsi" w:hAnsiTheme="majorHAnsi"/>
          <w:bCs/>
          <w:lang w:val="x-none" w:eastAsia="x-none"/>
        </w:rPr>
        <w:t>4 cm, warstwa wiążąca z betonu asfaltowego AC16W 5 cm oraz podbudowy zasadniczej AC16P 7 cm. Droga odwadniana jest powierzchniowo, nie planuje się zmian w sposobie odwodnienia drogi. Istniejące rowy przewidziane są do konserwacji/umocnienia zgodnie z planem sytuacyjnym.</w:t>
      </w:r>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2955E510" w14:textId="2DFFBA3D" w:rsidR="003D7AA1" w:rsidRPr="003D7AA1" w:rsidRDefault="006A2A4F" w:rsidP="006A2A4F">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45230000-8 Roboty budowlane w zakresie budowy rurociągów, linii komunikacyjnych i elektroenergetycznych, autostrad, dróg, lotnisk i kolei; wyrównywanie terenu.</w:t>
      </w:r>
    </w:p>
    <w:p w14:paraId="3514FDBB" w14:textId="5F416BEE" w:rsidR="00AA4F20" w:rsidRPr="003D7AA1" w:rsidRDefault="00AA4F20" w:rsidP="006A2A4F">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36FDACF6"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w:t>
      </w:r>
      <w:r w:rsidR="006A2A4F">
        <w:rPr>
          <w:rFonts w:asciiTheme="majorHAnsi" w:eastAsiaTheme="majorEastAsia" w:hAnsiTheme="majorHAnsi" w:cstheme="majorBidi"/>
          <w:lang w:eastAsia="en-US"/>
        </w:rPr>
        <w:t>ntacja projektowa- załączniki 10</w:t>
      </w:r>
      <w:r w:rsidRPr="003D7AA1">
        <w:rPr>
          <w:rFonts w:asciiTheme="majorHAnsi" w:eastAsiaTheme="majorEastAsia" w:hAnsiTheme="majorHAnsi" w:cstheme="majorBidi"/>
          <w:lang w:eastAsia="en-US"/>
        </w:rPr>
        <w:t>-1</w:t>
      </w:r>
      <w:r w:rsidR="006A2A4F">
        <w:rPr>
          <w:rFonts w:asciiTheme="majorHAnsi" w:eastAsiaTheme="majorEastAsia" w:hAnsiTheme="majorHAnsi" w:cstheme="majorBidi"/>
          <w:lang w:eastAsia="en-US"/>
        </w:rPr>
        <w:t>3</w:t>
      </w:r>
      <w:r w:rsidRPr="003D7AA1">
        <w:rPr>
          <w:rFonts w:asciiTheme="majorHAnsi" w:eastAsiaTheme="majorEastAsia" w:hAnsiTheme="majorHAnsi" w:cstheme="majorBidi"/>
          <w:lang w:eastAsia="en-US"/>
        </w:rPr>
        <w:t xml:space="preserve"> do SWZ;</w:t>
      </w:r>
    </w:p>
    <w:p w14:paraId="697BEEAB" w14:textId="43492C97"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46FC9F1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w:t>
      </w:r>
      <w:r w:rsidR="001A1AB1">
        <w:rPr>
          <w:rFonts w:asciiTheme="majorHAnsi" w:eastAsiaTheme="majorEastAsia" w:hAnsiTheme="majorHAnsi" w:cstheme="majorBidi"/>
          <w:lang w:eastAsia="en-US"/>
        </w:rPr>
        <w:t>1 poz. 2351</w:t>
      </w:r>
      <w:r w:rsidRPr="005F1760">
        <w:rPr>
          <w:rFonts w:asciiTheme="majorHAnsi" w:eastAsiaTheme="majorEastAsia" w:hAnsiTheme="majorHAnsi" w:cstheme="majorBidi"/>
          <w:lang w:eastAsia="en-US"/>
        </w:rPr>
        <w:t xml:space="preserve">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0CB11A04"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w:t>
      </w:r>
      <w:r w:rsidR="00AD5AAE">
        <w:rPr>
          <w:rFonts w:asciiTheme="majorHAnsi" w:eastAsiaTheme="majorEastAsia" w:hAnsiTheme="majorHAnsi" w:cstheme="majorBidi"/>
          <w:b/>
          <w:lang w:eastAsia="en-US"/>
        </w:rPr>
        <w:t>.</w:t>
      </w:r>
    </w:p>
    <w:p w14:paraId="39F6F83D" w14:textId="7DEA0A2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5374DE">
        <w:rPr>
          <w:rFonts w:asciiTheme="majorHAnsi" w:eastAsiaTheme="majorEastAsia" w:hAnsiTheme="majorHAnsi" w:cstheme="majorBidi"/>
          <w:lang w:eastAsia="en-US"/>
        </w:rPr>
        <w:t>.</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wraz z tabelą elementów scalonych lub sporządzony metodą uproszczoną z zestawieniem 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768D590" w14:textId="77777777" w:rsidR="00B1634F" w:rsidRPr="00877A01" w:rsidRDefault="00B1634F" w:rsidP="00877A0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6DFB764C"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 xml:space="preserve">na podstawie stosunku </w:t>
      </w:r>
      <w:r w:rsidR="005B6A88" w:rsidRPr="005B6A88">
        <w:rPr>
          <w:rFonts w:asciiTheme="majorHAnsi" w:hAnsiTheme="majorHAnsi"/>
        </w:rPr>
        <w:t>osób wykonujących roboty budowlane, związane z wykonywaniem prac w branży drogowej,</w:t>
      </w:r>
      <w:r w:rsidR="00B1634F">
        <w:rPr>
          <w:rFonts w:asciiTheme="majorHAnsi" w:hAnsiTheme="majorHAnsi"/>
        </w:rPr>
        <w:t xml:space="preserve"> elektrycznej oraz teletechnicznej, </w:t>
      </w:r>
      <w:r w:rsidR="005B6A88" w:rsidRPr="005B6A88">
        <w:rPr>
          <w:rFonts w:asciiTheme="majorHAnsi" w:hAnsiTheme="majorHAnsi"/>
        </w:rPr>
        <w:t>w szczególności w zakresie czynności: robót ziemnych, robót nawierzchniowych, operatorów sprzętu (maszyn budowlanych), kierowców, w ilości osób niezbędnej do realizacji przedmiotu zamówienia</w:t>
      </w:r>
      <w:r w:rsidR="00376671" w:rsidRPr="00376671">
        <w:rPr>
          <w:rFonts w:asciiTheme="majorHAnsi" w:hAnsiTheme="majorHAnsi"/>
        </w:rPr>
        <w:t xml:space="preserve">. Obowiązek ten nie dotyczy osób pełniących samodzielne funkcje techniczne w budownictwie, takich jak: kierownik budowy/ kierownik robót, projektanci, osoby wykonujące obsługę </w:t>
      </w:r>
      <w:r w:rsidR="00376671" w:rsidRPr="00376671">
        <w:rPr>
          <w:rFonts w:asciiTheme="majorHAnsi" w:hAnsiTheme="majorHAnsi"/>
        </w:rPr>
        <w:lastRenderedPageBreak/>
        <w:t>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lastRenderedPageBreak/>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75FC691D"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827BC9">
        <w:rPr>
          <w:rFonts w:asciiTheme="majorHAnsi" w:eastAsiaTheme="majorEastAsia" w:hAnsiTheme="majorHAnsi" w:cstheme="majorBidi"/>
          <w:b/>
          <w:lang w:eastAsia="en-US"/>
        </w:rPr>
        <w:t>6</w:t>
      </w:r>
      <w:r w:rsidR="00EF5FB3">
        <w:rPr>
          <w:rFonts w:asciiTheme="majorHAnsi" w:eastAsiaTheme="majorEastAsia" w:hAnsiTheme="majorHAnsi" w:cstheme="majorBidi"/>
          <w:b/>
          <w:lang w:eastAsia="en-US"/>
        </w:rPr>
        <w:t xml:space="preserve"> miesięcy od dnia podpisania umowy. </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D607667" w14:textId="077F7120" w:rsidR="00232551" w:rsidRPr="00232551" w:rsidRDefault="00232551" w:rsidP="0069216D">
      <w:pPr>
        <w:pStyle w:val="Akapitzlist"/>
        <w:numPr>
          <w:ilvl w:val="0"/>
          <w:numId w:val="36"/>
        </w:numPr>
        <w:ind w:left="284" w:hanging="426"/>
        <w:jc w:val="both"/>
        <w:rPr>
          <w:rFonts w:asciiTheme="majorHAnsi" w:eastAsiaTheme="majorEastAsia" w:hAnsiTheme="majorHAnsi" w:cstheme="majorBidi"/>
          <w:lang w:eastAsia="en-US"/>
        </w:rPr>
      </w:pPr>
      <w:r w:rsidRPr="00232551">
        <w:rPr>
          <w:rFonts w:asciiTheme="majorHAnsi" w:eastAsiaTheme="majorEastAsia" w:hAnsiTheme="majorHAnsi" w:cstheme="majorBidi"/>
          <w:lang w:eastAsia="en-US"/>
        </w:rPr>
        <w:t xml:space="preserve">Wykonawca spełni warunek, jeżeli wykaże, że w okresie ostatnich pięciu lat, a jeżeli okres prowadzenia działalności jest krótszy- w tym okresie, wykonał należycie co najmniej jedno zadanie polegające na budowie, przebudowie, remoncie odcinka </w:t>
      </w:r>
      <w:r w:rsidR="004A5043">
        <w:rPr>
          <w:rFonts w:asciiTheme="majorHAnsi" w:eastAsiaTheme="majorEastAsia" w:hAnsiTheme="majorHAnsi" w:cstheme="majorBidi"/>
          <w:lang w:eastAsia="en-US"/>
        </w:rPr>
        <w:t>drogi</w:t>
      </w:r>
      <w:r w:rsidRPr="00232551">
        <w:rPr>
          <w:rFonts w:asciiTheme="majorHAnsi" w:eastAsiaTheme="majorEastAsia" w:hAnsiTheme="majorHAnsi" w:cstheme="majorBidi"/>
          <w:lang w:eastAsia="en-US"/>
        </w:rPr>
        <w:t xml:space="preserve">, ulicy lub parkingu o nawierzchni bitumicznej, o wartości zadania nie mniejszej niż </w:t>
      </w:r>
      <w:r w:rsidR="00827BC9">
        <w:rPr>
          <w:rFonts w:asciiTheme="majorHAnsi" w:eastAsiaTheme="majorEastAsia" w:hAnsiTheme="majorHAnsi" w:cstheme="majorBidi"/>
          <w:lang w:eastAsia="en-US"/>
        </w:rPr>
        <w:t>1.000.000,00</w:t>
      </w:r>
      <w:r w:rsidRPr="00232551">
        <w:rPr>
          <w:rFonts w:asciiTheme="majorHAnsi" w:eastAsiaTheme="majorEastAsia" w:hAnsiTheme="majorHAnsi" w:cstheme="majorBidi"/>
          <w:lang w:eastAsia="en-US"/>
        </w:rPr>
        <w:t xml:space="preserve"> zł brutto.</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38CC9A7E" w:rsidR="00F91998"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lastRenderedPageBreak/>
        <w:t>-</w:t>
      </w:r>
      <w:r w:rsidR="00CF38C5">
        <w:rPr>
          <w:rFonts w:asciiTheme="majorHAnsi" w:eastAsiaTheme="majorEastAsia" w:hAnsiTheme="majorHAnsi" w:cstheme="majorBidi"/>
          <w:lang w:eastAsia="en-US"/>
        </w:rPr>
        <w:t xml:space="preserve"> </w:t>
      </w:r>
      <w:r w:rsidR="00D36AA5" w:rsidRPr="00F377E0">
        <w:rPr>
          <w:rFonts w:asciiTheme="majorHAnsi" w:eastAsiaTheme="majorEastAsia" w:hAnsiTheme="majorHAnsi" w:cstheme="majorBidi"/>
          <w:lang w:eastAsia="en-US"/>
        </w:rPr>
        <w:t xml:space="preserve">co najmniej 1 osoba pełniąca funkcję kierownika budowy posiadająca uprawnienia budowlane do kierowania robotami w </w:t>
      </w:r>
      <w:r w:rsidR="00325057">
        <w:rPr>
          <w:rFonts w:asciiTheme="majorHAnsi" w:eastAsiaTheme="majorEastAsia" w:hAnsiTheme="majorHAnsi" w:cstheme="majorBidi"/>
          <w:lang w:eastAsia="en-US"/>
        </w:rPr>
        <w:t xml:space="preserve">specjalności drogowej </w:t>
      </w:r>
      <w:r w:rsidRPr="00F377E0">
        <w:rPr>
          <w:rFonts w:asciiTheme="majorHAnsi" w:eastAsiaTheme="majorEastAsia" w:hAnsiTheme="majorHAnsi" w:cstheme="majorBidi"/>
          <w:lang w:eastAsia="en-US"/>
        </w:rPr>
        <w:t xml:space="preserve">oraz aktualny wpis do Polskiej Izby Inżynierów </w:t>
      </w:r>
      <w:r w:rsidR="00D36AA5" w:rsidRPr="00F377E0">
        <w:rPr>
          <w:rFonts w:asciiTheme="majorHAnsi" w:eastAsiaTheme="majorEastAsia" w:hAnsiTheme="majorHAnsi" w:cstheme="majorBidi"/>
          <w:lang w:eastAsia="en-US"/>
        </w:rPr>
        <w:t>Budownictwa;</w:t>
      </w:r>
    </w:p>
    <w:p w14:paraId="09F52D11" w14:textId="709553B5" w:rsidR="00CF38C5" w:rsidRPr="00CF38C5" w:rsidRDefault="00CF38C5" w:rsidP="00CF38C5">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F38C5">
        <w:rPr>
          <w:rFonts w:asciiTheme="majorHAnsi" w:eastAsiaTheme="majorEastAsia" w:hAnsiTheme="majorHAnsi" w:cstheme="majorBidi"/>
          <w:lang w:eastAsia="en-US"/>
        </w:rPr>
        <w:t>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oraz aktualny wpis do Polskiej Izby Inżynierów Budownictwa</w:t>
      </w:r>
      <w:r w:rsidR="00B54AE1">
        <w:rPr>
          <w:rFonts w:asciiTheme="majorHAnsi" w:eastAsiaTheme="majorEastAsia" w:hAnsiTheme="majorHAnsi" w:cstheme="majorBidi"/>
          <w:lang w:eastAsia="en-US"/>
        </w:rPr>
        <w:t>.</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74F13E3D"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ca 1994 r. Prawo budowlane (Dz.U. 202</w:t>
      </w:r>
      <w:r w:rsidR="00EB48D1">
        <w:rPr>
          <w:rFonts w:asciiTheme="majorHAnsi" w:eastAsiaTheme="majorEastAsia" w:hAnsiTheme="majorHAnsi" w:cstheme="majorBidi"/>
          <w:lang w:eastAsia="en-US"/>
        </w:rPr>
        <w:t>1</w:t>
      </w:r>
      <w:r w:rsidR="00FD43AB">
        <w:rPr>
          <w:rFonts w:asciiTheme="majorHAnsi" w:eastAsiaTheme="majorEastAsia" w:hAnsiTheme="majorHAnsi" w:cstheme="majorBidi"/>
          <w:lang w:eastAsia="en-US"/>
        </w:rPr>
        <w:t xml:space="preserve"> poz. </w:t>
      </w:r>
      <w:r w:rsidR="00EB48D1">
        <w:rPr>
          <w:rFonts w:asciiTheme="majorHAnsi" w:eastAsiaTheme="majorEastAsia" w:hAnsiTheme="majorHAnsi" w:cstheme="majorBidi"/>
          <w:lang w:eastAsia="en-US"/>
        </w:rPr>
        <w:t>2351</w:t>
      </w:r>
      <w:r w:rsidR="004017FA" w:rsidRPr="000C34D6">
        <w:rPr>
          <w:rFonts w:asciiTheme="majorHAnsi" w:eastAsiaTheme="majorEastAsia" w:hAnsiTheme="majorHAnsi" w:cstheme="majorBidi"/>
          <w:lang w:eastAsia="en-US"/>
        </w:rPr>
        <w:t xml:space="preserve">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3A29DAFC" w:rsidR="0053081A" w:rsidRPr="0053081A" w:rsidRDefault="00B54AE1" w:rsidP="00DB65A7">
      <w:pPr>
        <w:ind w:left="-142"/>
        <w:jc w:val="both"/>
        <w:rPr>
          <w:rFonts w:asciiTheme="majorHAnsi" w:eastAsiaTheme="majorEastAsia" w:hAnsiTheme="majorHAnsi" w:cstheme="majorBidi"/>
          <w:lang w:eastAsia="en-US"/>
        </w:rPr>
      </w:pPr>
      <w:r w:rsidRPr="00B54AE1">
        <w:rPr>
          <w:rFonts w:asciiTheme="majorHAnsi" w:eastAsiaTheme="majorEastAsia" w:hAnsiTheme="majorHAnsi" w:cstheme="majorBidi"/>
          <w:lang w:eastAsia="en-US"/>
        </w:rPr>
        <w:t>Dopuszcza się łączenie funkcji w różnych specjalnościach, o ile osoby te będą posiadały stosowne uprawnienia budowalne</w:t>
      </w:r>
      <w:r>
        <w:rPr>
          <w:rFonts w:asciiTheme="majorHAnsi" w:eastAsiaTheme="majorEastAsia" w:hAnsiTheme="majorHAnsi" w:cstheme="majorBidi"/>
          <w:lang w:eastAsia="en-US"/>
        </w:rPr>
        <w:t xml:space="preserve">. </w:t>
      </w:r>
      <w:r w:rsidR="0053081A" w:rsidRPr="0053081A">
        <w:rPr>
          <w:rFonts w:asciiTheme="majorHAnsi" w:eastAsiaTheme="majorEastAsia" w:hAnsiTheme="majorHAnsi" w:cstheme="majorBidi"/>
          <w:lang w:eastAsia="en-US"/>
        </w:rPr>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finansowania przestępstwa o charakterze terrorystycznym, o którym mowa w art. 165a Kodeksu karnego, lub przestępstwo udaremniania lub </w:t>
      </w:r>
      <w:r w:rsidRPr="000543E8">
        <w:rPr>
          <w:rFonts w:asciiTheme="majorHAnsi" w:eastAsiaTheme="majorEastAsia" w:hAnsiTheme="majorHAnsi" w:cstheme="majorBidi"/>
          <w:color w:val="000000" w:themeColor="text1"/>
          <w:lang w:eastAsia="en-US"/>
        </w:rPr>
        <w:lastRenderedPageBreak/>
        <w:t>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lastRenderedPageBreak/>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 xml:space="preserve">w formie elektronicznej lub w postaci elektronicznej opatrzonej podpisem zaufanym, lub podpisem osobistym osoby upoważnionej do </w:t>
      </w:r>
      <w:r w:rsidR="00887365" w:rsidRPr="00221C50">
        <w:rPr>
          <w:rFonts w:ascii="Cambria" w:hAnsi="Cambria"/>
          <w:color w:val="000000" w:themeColor="text1"/>
        </w:rPr>
        <w:lastRenderedPageBreak/>
        <w:t>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lastRenderedPageBreak/>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2F0C7473" w14:textId="1ACB2985" w:rsidR="00B92D8D" w:rsidRPr="00B92D8D" w:rsidRDefault="00B92D8D" w:rsidP="00B92D8D">
      <w:pPr>
        <w:pStyle w:val="Akapitzlist"/>
        <w:numPr>
          <w:ilvl w:val="0"/>
          <w:numId w:val="56"/>
        </w:numPr>
        <w:jc w:val="both"/>
        <w:rPr>
          <w:rFonts w:asciiTheme="majorHAnsi" w:hAnsiTheme="majorHAnsi"/>
        </w:rPr>
      </w:pPr>
      <w:r w:rsidRPr="00B92D8D">
        <w:rPr>
          <w:rFonts w:asciiTheme="majorHAnsi" w:hAnsiTheme="majorHAnsi"/>
        </w:rPr>
        <w:t xml:space="preserve">wykaz robót budowlanych wykonanych nie wcześniej niż w okresie ostatnich 5 lat, a jeżeli okres prowadzenia działalności jest krótszy–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3AD72A69" w14:textId="182A24E3" w:rsidR="00413CE9" w:rsidRDefault="00320307" w:rsidP="00320307">
      <w:pPr>
        <w:pStyle w:val="Akapitzlist"/>
        <w:numPr>
          <w:ilvl w:val="0"/>
          <w:numId w:val="57"/>
        </w:numPr>
        <w:jc w:val="both"/>
        <w:rPr>
          <w:rFonts w:ascii="Cambria" w:hAnsi="Cambria"/>
          <w:color w:val="000000" w:themeColor="text1"/>
        </w:rPr>
      </w:pPr>
      <w:r>
        <w:rPr>
          <w:rFonts w:ascii="Cambria" w:hAnsi="Cambria"/>
          <w:color w:val="000000" w:themeColor="text1"/>
        </w:rPr>
        <w:t xml:space="preserve">Zamawiający nie wymaga złożenia podmiotowych środków dowodowych dotyczących potwierdzenia braku podstaw wykluczenia. </w:t>
      </w:r>
    </w:p>
    <w:p w14:paraId="23D5E92A" w14:textId="77777777" w:rsidR="00320307" w:rsidRDefault="00320307" w:rsidP="00320307">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249811F2"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093FC9">
        <w:rPr>
          <w:rFonts w:ascii="Cambria" w:hAnsi="Cambria" w:cs="Arial"/>
          <w:b/>
          <w:bCs/>
        </w:rPr>
        <w:t xml:space="preserve">kwocie </w:t>
      </w:r>
      <w:r w:rsidR="00EB48D1">
        <w:rPr>
          <w:rFonts w:ascii="Cambria" w:hAnsi="Cambria" w:cs="Arial"/>
          <w:b/>
          <w:bCs/>
        </w:rPr>
        <w:t>30.0</w:t>
      </w:r>
      <w:r w:rsidR="00B92D8D">
        <w:rPr>
          <w:rFonts w:ascii="Cambria" w:hAnsi="Cambria" w:cs="Arial"/>
          <w:b/>
          <w:bCs/>
        </w:rPr>
        <w:t>00,00</w:t>
      </w:r>
      <w:r w:rsidR="00577B99" w:rsidRPr="00577B99">
        <w:rPr>
          <w:rFonts w:ascii="Cambria" w:hAnsi="Cambria" w:cs="Arial"/>
          <w:b/>
          <w:bCs/>
        </w:rPr>
        <w:t xml:space="preserve"> zł.</w:t>
      </w:r>
    </w:p>
    <w:p w14:paraId="00F0CF7A" w14:textId="470B59D9"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EB48D1">
        <w:rPr>
          <w:rFonts w:ascii="Cambria" w:hAnsi="Cambria"/>
        </w:rPr>
        <w:t>05.05</w:t>
      </w:r>
      <w:r w:rsidR="008C10D8">
        <w:rPr>
          <w:rFonts w:ascii="Cambria" w:hAnsi="Cambria"/>
        </w:rPr>
        <w:t>.2022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3460DE" w:rsidRDefault="00DC6E39" w:rsidP="0069216D">
      <w:pPr>
        <w:numPr>
          <w:ilvl w:val="0"/>
          <w:numId w:val="11"/>
        </w:numPr>
        <w:autoSpaceDE w:val="0"/>
        <w:autoSpaceDN w:val="0"/>
        <w:spacing w:before="120" w:after="120"/>
        <w:jc w:val="both"/>
        <w:rPr>
          <w:rFonts w:ascii="Cambria" w:hAnsi="Cambria"/>
          <w:u w:val="single"/>
        </w:rPr>
      </w:pPr>
      <w:r w:rsidRPr="00773D17">
        <w:rPr>
          <w:rFonts w:ascii="Cambria" w:hAnsi="Cambria"/>
        </w:rPr>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 xml:space="preserve">Wadium </w:t>
      </w:r>
      <w:r w:rsidR="00796BA3" w:rsidRPr="003460DE">
        <w:rPr>
          <w:rFonts w:ascii="Cambria" w:hAnsi="Cambria"/>
          <w:u w:val="single"/>
        </w:rPr>
        <w:t>musi wpłyną</w:t>
      </w:r>
      <w:r w:rsidRPr="003460DE">
        <w:rPr>
          <w:rFonts w:ascii="Cambria" w:hAnsi="Cambria"/>
          <w:u w:val="single"/>
        </w:rPr>
        <w:t>ć na wskazany rachunek bankowy z</w:t>
      </w:r>
      <w:r w:rsidR="00796BA3" w:rsidRPr="003460DE">
        <w:rPr>
          <w:rFonts w:ascii="Cambria" w:hAnsi="Cambria"/>
          <w:u w:val="single"/>
        </w:rPr>
        <w:t>amawiającego najpóźniej przed upływem terminu składania ofert (decyduje d</w:t>
      </w:r>
      <w:r w:rsidRPr="003460DE">
        <w:rPr>
          <w:rFonts w:ascii="Cambria" w:hAnsi="Cambria"/>
          <w:u w:val="single"/>
        </w:rPr>
        <w:t>ata wpływu na rachunek bankowy z</w:t>
      </w:r>
      <w:r w:rsidR="00796BA3" w:rsidRPr="003460DE">
        <w:rPr>
          <w:rFonts w:ascii="Cambria" w:hAnsi="Cambria"/>
          <w:u w:val="single"/>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0"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1" w:name="_Toc42045496"/>
      <w:bookmarkEnd w:id="0"/>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 xml:space="preserve">podpis </w:t>
      </w:r>
      <w:r w:rsidRPr="00C911EA">
        <w:rPr>
          <w:rFonts w:ascii="Cambria" w:hAnsi="Cambria"/>
          <w:b/>
          <w:bCs/>
          <w:lang w:val="pl"/>
        </w:rPr>
        <w:lastRenderedPageBreak/>
        <w:t>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EB48D1"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 xml:space="preserve">i oświadczenia składane przez wykonawcę powinny być w języku polskim, chyba że w SWZ dopuszczono inaczej. W przypadku  załączenia </w:t>
      </w:r>
      <w:r w:rsidRPr="00CE4D89">
        <w:rPr>
          <w:rFonts w:ascii="Cambria" w:hAnsi="Cambria"/>
          <w:lang w:val="pl"/>
        </w:rPr>
        <w:lastRenderedPageBreak/>
        <w:t>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lastRenderedPageBreak/>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lastRenderedPageBreak/>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0C86579" w:rsidR="0011460F" w:rsidRPr="00773D17" w:rsidRDefault="003460DE" w:rsidP="003123E6">
      <w:pPr>
        <w:pStyle w:val="Tekstpodstawowy"/>
        <w:tabs>
          <w:tab w:val="left" w:pos="762"/>
        </w:tabs>
        <w:spacing w:before="120" w:after="0" w:line="252" w:lineRule="auto"/>
        <w:ind w:left="786" w:right="20"/>
        <w:jc w:val="both"/>
        <w:rPr>
          <w:rFonts w:ascii="Cambria" w:hAnsi="Cambria"/>
        </w:rPr>
      </w:pPr>
      <w:r>
        <w:rPr>
          <w:rFonts w:ascii="Cambria" w:hAnsi="Cambria"/>
        </w:rPr>
        <w:t>Marcin Podkowiński</w:t>
      </w:r>
    </w:p>
    <w:p w14:paraId="55BF85D0" w14:textId="4D45B55D"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3460DE">
        <w:rPr>
          <w:rFonts w:ascii="Cambria" w:hAnsi="Cambria"/>
        </w:rPr>
        <w:t>podkowinski</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E936722"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EB48D1">
        <w:rPr>
          <w:rFonts w:ascii="Cambria" w:hAnsi="Cambria"/>
        </w:rPr>
        <w:t xml:space="preserve"> postępowania do dnia 06.04</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1AE42965" w:rsidR="00D76005" w:rsidRDefault="006C3D4C" w:rsidP="0069216D">
      <w:pPr>
        <w:numPr>
          <w:ilvl w:val="1"/>
          <w:numId w:val="37"/>
        </w:numPr>
        <w:ind w:right="-108"/>
        <w:jc w:val="both"/>
        <w:rPr>
          <w:rFonts w:ascii="Cambria" w:hAnsi="Cambria"/>
        </w:rPr>
      </w:pPr>
      <w:r>
        <w:rPr>
          <w:rFonts w:ascii="Cambria" w:hAnsi="Cambria"/>
        </w:rPr>
        <w:t>Otwarcie ofert nastąpi 06.04</w:t>
      </w:r>
      <w:r w:rsidR="00093FC9">
        <w:rPr>
          <w:rFonts w:ascii="Cambria" w:hAnsi="Cambria"/>
        </w:rPr>
        <w:t>.2022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2F4132E1"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6C3D4C">
        <w:rPr>
          <w:rFonts w:ascii="Cambria" w:hAnsi="Cambria"/>
          <w:b/>
          <w:bCs/>
        </w:rPr>
        <w:t>05.05</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 xml:space="preserve">Maksymalny okres gwarancji i rękojmi za wady wynosi uwzględniony do oceny ofert wynosi 72 miesiące. Jeżeli Wykonawca zaoferuje okres gwarancji i rękojmi za wady </w:t>
      </w:r>
      <w:r>
        <w:rPr>
          <w:rFonts w:asciiTheme="majorHAnsi" w:hAnsiTheme="majorHAnsi"/>
        </w:rPr>
        <w:lastRenderedPageBreak/>
        <w:t>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23F5F8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590741">
        <w:rPr>
          <w:rFonts w:ascii="Cambria" w:hAnsi="Cambria"/>
        </w:rPr>
        <w:t xml:space="preserve">gwarancji i </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2AB9775E"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590741">
        <w:rPr>
          <w:rFonts w:ascii="Cambria" w:hAnsi="Cambria"/>
          <w:b/>
        </w:rPr>
        <w:t>Przebudowa drogi gminnej nr 151126C ul. Cegielna w Gniewkowie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3"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3"/>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1A5766FB" w14:textId="51A834CC" w:rsidR="00DC6904" w:rsidRDefault="002D28EF" w:rsidP="00D5314D">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590741">
        <w:rPr>
          <w:rFonts w:asciiTheme="majorHAnsi" w:hAnsiTheme="majorHAnsi" w:cs="Arial"/>
          <w:szCs w:val="24"/>
        </w:rPr>
        <w:t>Projekt budowlano- wykonawczy</w:t>
      </w:r>
    </w:p>
    <w:p w14:paraId="013B2E2C" w14:textId="02091D91" w:rsidR="00D5314D" w:rsidRDefault="00590741"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11. STWIOR</w:t>
      </w:r>
    </w:p>
    <w:p w14:paraId="5666F4DF" w14:textId="0A343C71" w:rsidR="00D5314D" w:rsidRDefault="00D5314D"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12. </w:t>
      </w:r>
      <w:r w:rsidR="00590741">
        <w:rPr>
          <w:rFonts w:asciiTheme="majorHAnsi" w:hAnsiTheme="majorHAnsi" w:cs="Arial"/>
          <w:szCs w:val="24"/>
        </w:rPr>
        <w:t>Mapa i Stała organizacja ruchu</w:t>
      </w:r>
    </w:p>
    <w:p w14:paraId="3F9D5E5B" w14:textId="592571F4" w:rsidR="00D5314D" w:rsidRDefault="00590741"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13. Przedmiar</w:t>
      </w:r>
    </w:p>
    <w:p w14:paraId="697EFDFC" w14:textId="77777777" w:rsidR="00D5314D" w:rsidRPr="002D28EF" w:rsidRDefault="00D5314D" w:rsidP="00D5314D">
      <w:pPr>
        <w:pStyle w:val="pkt"/>
        <w:spacing w:before="0" w:after="0" w:line="240" w:lineRule="auto"/>
        <w:ind w:left="0" w:firstLine="0"/>
        <w:rPr>
          <w:rFonts w:asciiTheme="majorHAnsi" w:hAnsiTheme="majorHAnsi" w:cs="Arial"/>
          <w:szCs w:val="24"/>
        </w:rPr>
      </w:pP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3A217517"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590741">
        <w:rPr>
          <w:rFonts w:asciiTheme="majorHAnsi" w:hAnsiTheme="majorHAnsi" w:cs="Arial"/>
          <w:szCs w:val="24"/>
        </w:rPr>
        <w:t>, dnia 22</w:t>
      </w:r>
      <w:r w:rsidR="00AE0890">
        <w:rPr>
          <w:rFonts w:asciiTheme="majorHAnsi" w:hAnsiTheme="majorHAnsi" w:cs="Arial"/>
          <w:szCs w:val="24"/>
        </w:rPr>
        <w:t>.</w:t>
      </w:r>
      <w:bookmarkStart w:id="4" w:name="_GoBack"/>
      <w:bookmarkEnd w:id="4"/>
      <w:r w:rsidR="00AE0890">
        <w:rPr>
          <w:rFonts w:asciiTheme="majorHAnsi" w:hAnsiTheme="majorHAnsi" w:cs="Arial"/>
          <w:szCs w:val="24"/>
        </w:rPr>
        <w:t>0</w:t>
      </w:r>
      <w:r w:rsidR="003E155D">
        <w:rPr>
          <w:rFonts w:asciiTheme="majorHAnsi" w:hAnsiTheme="majorHAnsi" w:cs="Arial"/>
          <w:szCs w:val="24"/>
        </w:rPr>
        <w:t>3</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C3AD1" w14:textId="77777777" w:rsidR="008F413D" w:rsidRDefault="008F413D" w:rsidP="000F1DCF">
      <w:r>
        <w:separator/>
      </w:r>
    </w:p>
  </w:endnote>
  <w:endnote w:type="continuationSeparator" w:id="0">
    <w:p w14:paraId="26DE9D4C" w14:textId="77777777" w:rsidR="008F413D" w:rsidRDefault="008F413D" w:rsidP="000F1DCF">
      <w:r>
        <w:continuationSeparator/>
      </w:r>
    </w:p>
  </w:endnote>
  <w:endnote w:type="continuationNotice" w:id="1">
    <w:p w14:paraId="0959CD3E" w14:textId="77777777" w:rsidR="008F413D" w:rsidRDefault="008F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E9AF8" w14:textId="77777777" w:rsidR="008F413D" w:rsidRDefault="008F413D" w:rsidP="000F1DCF">
      <w:r>
        <w:separator/>
      </w:r>
    </w:p>
  </w:footnote>
  <w:footnote w:type="continuationSeparator" w:id="0">
    <w:p w14:paraId="73476030" w14:textId="77777777" w:rsidR="008F413D" w:rsidRDefault="008F413D" w:rsidP="000F1DCF">
      <w:r>
        <w:continuationSeparator/>
      </w:r>
    </w:p>
  </w:footnote>
  <w:footnote w:type="continuationNotice" w:id="1">
    <w:p w14:paraId="43BD2892" w14:textId="77777777" w:rsidR="008F413D" w:rsidRDefault="008F41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612AF69E"/>
    <w:lvl w:ilvl="0" w:tplc="CC0A399C">
      <w:start w:val="1"/>
      <w:numFmt w:val="lowerLetter"/>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9">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69456E"/>
    <w:multiLevelType w:val="hybridMultilevel"/>
    <w:tmpl w:val="94667EB6"/>
    <w:lvl w:ilvl="0" w:tplc="8B4C70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7"/>
  </w:num>
  <w:num w:numId="3">
    <w:abstractNumId w:val="58"/>
  </w:num>
  <w:num w:numId="4">
    <w:abstractNumId w:val="60"/>
  </w:num>
  <w:num w:numId="5">
    <w:abstractNumId w:val="26"/>
  </w:num>
  <w:num w:numId="6">
    <w:abstractNumId w:val="59"/>
  </w:num>
  <w:num w:numId="7">
    <w:abstractNumId w:val="18"/>
  </w:num>
  <w:num w:numId="8">
    <w:abstractNumId w:val="35"/>
  </w:num>
  <w:num w:numId="9">
    <w:abstractNumId w:val="15"/>
  </w:num>
  <w:num w:numId="10">
    <w:abstractNumId w:val="0"/>
  </w:num>
  <w:num w:numId="11">
    <w:abstractNumId w:val="29"/>
  </w:num>
  <w:num w:numId="12">
    <w:abstractNumId w:val="22"/>
  </w:num>
  <w:num w:numId="13">
    <w:abstractNumId w:val="55"/>
  </w:num>
  <w:num w:numId="14">
    <w:abstractNumId w:val="44"/>
  </w:num>
  <w:num w:numId="15">
    <w:abstractNumId w:val="47"/>
  </w:num>
  <w:num w:numId="16">
    <w:abstractNumId w:val="20"/>
  </w:num>
  <w:num w:numId="17">
    <w:abstractNumId w:val="34"/>
  </w:num>
  <w:num w:numId="18">
    <w:abstractNumId w:val="36"/>
  </w:num>
  <w:num w:numId="19">
    <w:abstractNumId w:val="12"/>
  </w:num>
  <w:num w:numId="20">
    <w:abstractNumId w:val="51"/>
  </w:num>
  <w:num w:numId="21">
    <w:abstractNumId w:val="19"/>
  </w:num>
  <w:num w:numId="22">
    <w:abstractNumId w:val="10"/>
  </w:num>
  <w:num w:numId="23">
    <w:abstractNumId w:val="11"/>
  </w:num>
  <w:num w:numId="24">
    <w:abstractNumId w:val="25"/>
  </w:num>
  <w:num w:numId="25">
    <w:abstractNumId w:val="50"/>
  </w:num>
  <w:num w:numId="26">
    <w:abstractNumId w:val="14"/>
  </w:num>
  <w:num w:numId="27">
    <w:abstractNumId w:val="24"/>
  </w:num>
  <w:num w:numId="28">
    <w:abstractNumId w:val="5"/>
  </w:num>
  <w:num w:numId="29">
    <w:abstractNumId w:val="23"/>
  </w:num>
  <w:num w:numId="30">
    <w:abstractNumId w:val="7"/>
  </w:num>
  <w:num w:numId="31">
    <w:abstractNumId w:val="45"/>
  </w:num>
  <w:num w:numId="32">
    <w:abstractNumId w:val="42"/>
  </w:num>
  <w:num w:numId="33">
    <w:abstractNumId w:val="4"/>
  </w:num>
  <w:num w:numId="34">
    <w:abstractNumId w:val="52"/>
  </w:num>
  <w:num w:numId="35">
    <w:abstractNumId w:val="30"/>
  </w:num>
  <w:num w:numId="36">
    <w:abstractNumId w:val="28"/>
  </w:num>
  <w:num w:numId="37">
    <w:abstractNumId w:val="39"/>
  </w:num>
  <w:num w:numId="38">
    <w:abstractNumId w:val="56"/>
  </w:num>
  <w:num w:numId="39">
    <w:abstractNumId w:val="27"/>
  </w:num>
  <w:num w:numId="40">
    <w:abstractNumId w:val="1"/>
  </w:num>
  <w:num w:numId="41">
    <w:abstractNumId w:val="48"/>
  </w:num>
  <w:num w:numId="42">
    <w:abstractNumId w:val="49"/>
  </w:num>
  <w:num w:numId="43">
    <w:abstractNumId w:val="40"/>
  </w:num>
  <w:num w:numId="44">
    <w:abstractNumId w:val="53"/>
  </w:num>
  <w:num w:numId="45">
    <w:abstractNumId w:val="2"/>
  </w:num>
  <w:num w:numId="46">
    <w:abstractNumId w:val="38"/>
  </w:num>
  <w:num w:numId="47">
    <w:abstractNumId w:val="31"/>
  </w:num>
  <w:num w:numId="48">
    <w:abstractNumId w:val="13"/>
  </w:num>
  <w:num w:numId="49">
    <w:abstractNumId w:val="9"/>
  </w:num>
  <w:num w:numId="50">
    <w:abstractNumId w:val="8"/>
  </w:num>
  <w:num w:numId="51">
    <w:abstractNumId w:val="46"/>
  </w:num>
  <w:num w:numId="52">
    <w:abstractNumId w:val="21"/>
  </w:num>
  <w:num w:numId="53">
    <w:abstractNumId w:val="16"/>
  </w:num>
  <w:num w:numId="54">
    <w:abstractNumId w:val="3"/>
  </w:num>
  <w:num w:numId="55">
    <w:abstractNumId w:val="41"/>
  </w:num>
  <w:num w:numId="56">
    <w:abstractNumId w:val="6"/>
  </w:num>
  <w:num w:numId="57">
    <w:abstractNumId w:val="33"/>
  </w:num>
  <w:num w:numId="58">
    <w:abstractNumId w:val="43"/>
  </w:num>
  <w:num w:numId="59">
    <w:abstractNumId w:val="57"/>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1E"/>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1AB1"/>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6D"/>
    <w:rsid w:val="001E72B7"/>
    <w:rsid w:val="001F0D7F"/>
    <w:rsid w:val="001F48B2"/>
    <w:rsid w:val="001F665A"/>
    <w:rsid w:val="0020063A"/>
    <w:rsid w:val="002016A0"/>
    <w:rsid w:val="00203AC7"/>
    <w:rsid w:val="00204D99"/>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55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47BA"/>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057"/>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460DE"/>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5D"/>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043"/>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17CD"/>
    <w:rsid w:val="004C17DA"/>
    <w:rsid w:val="004C3078"/>
    <w:rsid w:val="004C3097"/>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0741"/>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A88"/>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2A4F"/>
    <w:rsid w:val="006A4AE4"/>
    <w:rsid w:val="006A4F2A"/>
    <w:rsid w:val="006A7A05"/>
    <w:rsid w:val="006B1ED3"/>
    <w:rsid w:val="006B2C8A"/>
    <w:rsid w:val="006B3DB1"/>
    <w:rsid w:val="006B5378"/>
    <w:rsid w:val="006B7695"/>
    <w:rsid w:val="006B79A3"/>
    <w:rsid w:val="006B7C5D"/>
    <w:rsid w:val="006B7E11"/>
    <w:rsid w:val="006C24DA"/>
    <w:rsid w:val="006C3D4C"/>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27BC9"/>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02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60B"/>
    <w:rsid w:val="008C1997"/>
    <w:rsid w:val="008C201C"/>
    <w:rsid w:val="008C2C5E"/>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13D"/>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16D4E"/>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3F4F"/>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AAE"/>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63A1"/>
    <w:rsid w:val="00AF73D2"/>
    <w:rsid w:val="00B001C0"/>
    <w:rsid w:val="00B00FE9"/>
    <w:rsid w:val="00B010FE"/>
    <w:rsid w:val="00B0169E"/>
    <w:rsid w:val="00B01BAC"/>
    <w:rsid w:val="00B023CD"/>
    <w:rsid w:val="00B04DA9"/>
    <w:rsid w:val="00B05193"/>
    <w:rsid w:val="00B07AAE"/>
    <w:rsid w:val="00B07B30"/>
    <w:rsid w:val="00B07F86"/>
    <w:rsid w:val="00B11662"/>
    <w:rsid w:val="00B12042"/>
    <w:rsid w:val="00B13A3D"/>
    <w:rsid w:val="00B142B3"/>
    <w:rsid w:val="00B14C7B"/>
    <w:rsid w:val="00B14D9C"/>
    <w:rsid w:val="00B1578E"/>
    <w:rsid w:val="00B15B5E"/>
    <w:rsid w:val="00B15C88"/>
    <w:rsid w:val="00B1634F"/>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4AE1"/>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3C81"/>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D8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56F"/>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8C5"/>
    <w:rsid w:val="00CF3FB9"/>
    <w:rsid w:val="00CF47B6"/>
    <w:rsid w:val="00CF55D1"/>
    <w:rsid w:val="00CF5944"/>
    <w:rsid w:val="00CF5EF6"/>
    <w:rsid w:val="00D0214A"/>
    <w:rsid w:val="00D0280A"/>
    <w:rsid w:val="00D02E73"/>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14D"/>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6A4"/>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19C7"/>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3D71"/>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48D1"/>
    <w:rsid w:val="00EB540D"/>
    <w:rsid w:val="00EB5770"/>
    <w:rsid w:val="00EB643D"/>
    <w:rsid w:val="00EB6DB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 w:val="00FF7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FFC0-AA2C-4281-8415-2B2383A9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35</Pages>
  <Words>12964</Words>
  <Characters>77790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90573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252</cp:revision>
  <cp:lastPrinted>2022-03-04T09:06:00Z</cp:lastPrinted>
  <dcterms:created xsi:type="dcterms:W3CDTF">2021-08-10T09:38:00Z</dcterms:created>
  <dcterms:modified xsi:type="dcterms:W3CDTF">2022-03-22T13:52:00Z</dcterms:modified>
</cp:coreProperties>
</file>