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1" w:rsidRDefault="00624BE5">
      <w:pPr>
        <w:spacing w:after="0" w:line="276" w:lineRule="auto"/>
        <w:jc w:val="right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Załącznik Nr </w:t>
      </w:r>
      <w:r w:rsidR="00E506BB">
        <w:rPr>
          <w:rFonts w:cs="Times New Roman"/>
          <w:iCs/>
          <w:sz w:val="24"/>
          <w:szCs w:val="24"/>
        </w:rPr>
        <w:t>8</w:t>
      </w:r>
      <w:r>
        <w:rPr>
          <w:rFonts w:cs="Times New Roman"/>
          <w:iCs/>
          <w:sz w:val="24"/>
          <w:szCs w:val="24"/>
        </w:rPr>
        <w:t xml:space="preserve"> do</w:t>
      </w:r>
      <w:r w:rsidR="00E506BB">
        <w:rPr>
          <w:rFonts w:cs="Times New Roman"/>
          <w:iCs/>
          <w:sz w:val="24"/>
          <w:szCs w:val="24"/>
        </w:rPr>
        <w:t xml:space="preserve"> SWZ</w:t>
      </w:r>
    </w:p>
    <w:p w:rsidR="00496001" w:rsidRDefault="00624BE5">
      <w:pPr>
        <w:spacing w:after="0" w:line="276" w:lineRule="auto"/>
        <w:jc w:val="center"/>
        <w:rPr>
          <w:b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AKT NOTARIALNY</w:t>
      </w: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Umowa poddzierżawy nieruchomości</w:t>
      </w: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zawarta dnia ....……………………………  r. w Bielsku Podlaskim pomiędzy:</w:t>
      </w: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Miastem Bielsk Podlaski, ul. Kopernika 1, 17-100 Bielsk Podlaski, NIP: 5432066155 reprezentowanym przez Burmistrza Miasta Bielsk Podlaski – Pana</w:t>
      </w:r>
      <w:r w:rsidR="00A86C84">
        <w:rPr>
          <w:rFonts w:cs="Times New Roman"/>
          <w:sz w:val="24"/>
          <w:szCs w:val="24"/>
        </w:rPr>
        <w:t xml:space="preserve"> Jarosława Borowskiego, </w:t>
      </w:r>
      <w:bookmarkStart w:id="0" w:name="_GoBack"/>
      <w:bookmarkEnd w:id="0"/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zwanym dalej Wydzierżawiającym,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……………………………………………………………………………………………………………………………………………………………………………………………………………………..., 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zwanym dalej </w:t>
      </w:r>
      <w:r>
        <w:rPr>
          <w:rFonts w:cs="Times New Roman"/>
          <w:bCs/>
          <w:sz w:val="24"/>
          <w:szCs w:val="24"/>
        </w:rPr>
        <w:t>Poddzierżawcą</w:t>
      </w:r>
      <w:r>
        <w:rPr>
          <w:rFonts w:cs="Times New Roman"/>
          <w:sz w:val="24"/>
          <w:szCs w:val="24"/>
        </w:rPr>
        <w:t>,</w:t>
      </w: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o następującej treści:</w:t>
      </w:r>
    </w:p>
    <w:p w:rsidR="00496001" w:rsidRDefault="00496001">
      <w:pPr>
        <w:spacing w:after="0" w:line="276" w:lineRule="auto"/>
        <w:rPr>
          <w:sz w:val="24"/>
          <w:szCs w:val="24"/>
        </w:rPr>
      </w:pP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§1</w:t>
      </w:r>
    </w:p>
    <w:p w:rsidR="00496001" w:rsidRDefault="00624BE5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Wydzierżawiający oświadcza, że na podstawie Umowy dzierżawy z dnia 28 grudnia 2017 roku zawartej z właścicielem nieruchomości – Przedsiębiorstwem Komunalnym sp. z o.o. z siedzibą w Bielsku Podlaskim, dzierżawi część nieruchomości o nr geod. 929/10, obręb 3 o powierzchni 0,5989 ha, położonej przy ul. Torowej 40 w Bielsku Podlaskim, dla której Sąd Rejonowy w Bielsku Podlaskim V Wydział Ksiąg Wieczystych prowadzi KW nr BI1P/00048841/7, zwaną dalej „nieruchomością”.</w:t>
      </w:r>
    </w:p>
    <w:p w:rsidR="00496001" w:rsidRDefault="00624BE5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Wydzierżawiający oświadcza, że właściciel nieruchomości wyraził zgodę na zawarcie umowy poddzierżawy nieruchomości w zakresie niezbędnym do prowadzenia i obsługi Punktu Selektywnego Zbierania Odpadów Komunalnych na terenie Miasta Bielsk Podlaski.</w:t>
      </w:r>
    </w:p>
    <w:p w:rsidR="00496001" w:rsidRDefault="00624BE5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Koszty związane z podpisaniem niniejszej umowy w formie aktu notarialnego ponosi Poddzierżawca.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§2</w:t>
      </w:r>
    </w:p>
    <w:p w:rsidR="00496001" w:rsidRDefault="00624BE5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Wydzierżawiający oddaje Poddzierżawcy w dzierżawę do używania i pobierania pożytków opisaną w §1 nieruchomość w celu świadczenia przez Poddzierżawcę usług na podstawie umowy o udzielenie zamówienia publicznego </w:t>
      </w:r>
      <w:r>
        <w:rPr>
          <w:rFonts w:cs="Arial Narrow"/>
          <w:sz w:val="24"/>
          <w:szCs w:val="24"/>
        </w:rPr>
        <w:t xml:space="preserve">pn. </w:t>
      </w:r>
      <w:r>
        <w:rPr>
          <w:rFonts w:cs="Arial Narrow"/>
          <w:i/>
          <w:iCs/>
          <w:color w:val="000000"/>
          <w:sz w:val="24"/>
          <w:szCs w:val="24"/>
        </w:rPr>
        <w:t>„</w:t>
      </w:r>
      <w:r>
        <w:rPr>
          <w:rFonts w:cs="Times New Roman"/>
          <w:i/>
          <w:iCs/>
          <w:color w:val="000000"/>
          <w:sz w:val="24"/>
          <w:szCs w:val="24"/>
        </w:rPr>
        <w:t xml:space="preserve">Obsługa Punktu Selektywnego </w:t>
      </w:r>
      <w:r>
        <w:rPr>
          <w:rFonts w:cs="Arial"/>
          <w:i/>
          <w:iCs/>
          <w:color w:val="000000"/>
          <w:sz w:val="24"/>
          <w:szCs w:val="24"/>
        </w:rPr>
        <w:t>Zbierania Odpadów Komunalnych (PSZOK), znajdującego się w Bielsku Podlaskim przy ul. Torowej 40 wraz z zagospodarowaniem odpadów pochodzących z PSZOK</w:t>
      </w:r>
      <w:r w:rsidR="00D40467">
        <w:rPr>
          <w:rFonts w:cs="Arial"/>
          <w:color w:val="000000"/>
          <w:sz w:val="24"/>
          <w:szCs w:val="24"/>
        </w:rPr>
        <w:t>” (</w:t>
      </w:r>
      <w:r>
        <w:rPr>
          <w:rFonts w:cs="Arial"/>
          <w:color w:val="000000"/>
          <w:sz w:val="24"/>
          <w:szCs w:val="24"/>
        </w:rPr>
        <w:t>dalej jako „Umowa na obsłu</w:t>
      </w:r>
      <w:r w:rsidR="00D40467">
        <w:rPr>
          <w:rFonts w:cs="Arial"/>
          <w:color w:val="000000"/>
          <w:sz w:val="24"/>
          <w:szCs w:val="24"/>
        </w:rPr>
        <w:t>gę PSZOK”)</w:t>
      </w:r>
      <w:r>
        <w:rPr>
          <w:rFonts w:cs="Arial"/>
          <w:color w:val="000000"/>
          <w:sz w:val="24"/>
          <w:szCs w:val="24"/>
        </w:rPr>
        <w:t>.</w:t>
      </w:r>
    </w:p>
    <w:p w:rsidR="00496001" w:rsidRDefault="00624BE5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Teren objęty niniejszą umową poddzierżawy, a opisany w ust.1, oznaczony został kolorem pomarańczowym na załączniku w formie mapy poglądowej.</w:t>
      </w:r>
    </w:p>
    <w:p w:rsidR="00496001" w:rsidRDefault="00624BE5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Wydanie przedmiotu poddzierżawy nastąpi po podpisaniu Umowy na obsługę PSZOK, (nie wcześniej niż 1.01.2022r.) w terminie 3 dni roboczych od dnia pisemnego zgłoszenia </w:t>
      </w:r>
      <w:r>
        <w:rPr>
          <w:rFonts w:cs="Times New Roman"/>
          <w:sz w:val="24"/>
          <w:szCs w:val="24"/>
        </w:rPr>
        <w:lastRenderedPageBreak/>
        <w:t>przez Poddzierżawcę gotowości do świadczenia usług w ramach realizacji Umowy o obsługę PSZOK.</w:t>
      </w:r>
    </w:p>
    <w:p w:rsidR="00496001" w:rsidRDefault="00624BE5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Wydanie nieruchomości nastąpi na podstawie pisemnego protokołu przekazania.</w:t>
      </w:r>
    </w:p>
    <w:p w:rsidR="00496001" w:rsidRDefault="00624BE5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Wydzierżawiający oświadcza, że nieruchomość nie jest wydzierżawiona albo oddana do korzystania na innej podstawie prawnej innym osobom, ani też nie jest obciążona innymi prawami obligacyjnymi albo rzeczowymi, nieujawnionymi w księdze wieczystej, które uniemożliwiłyby prawidłowe korzystanie z gruntu według celu niniejszej umowy oraz, które miałyby pierwszeństwo przed prawem dzierżawy wynikającym z niniejszej umowy.</w:t>
      </w:r>
    </w:p>
    <w:p w:rsidR="00496001" w:rsidRDefault="00624BE5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§3</w:t>
      </w:r>
    </w:p>
    <w:p w:rsidR="00496001" w:rsidRDefault="00624BE5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Umowa poddzierżawy zostaje zawarta na okres do dnia 31 grudnia 2022 r. </w:t>
      </w:r>
    </w:p>
    <w:p w:rsidR="00496001" w:rsidRDefault="00624BE5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Poza przypadkami określonymi w niniejszej umowę nie może ona zostać wypowiedziana.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§4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Poddzierżawca oświadcza, że przedmiot umowy wykorzystywał będzie zgodnie z jego przeznaczeniem, wymogami niniejszej umowy oraz zgodnie z obowiązującymi przepisami, zasadami prawidłowej gospodarki i z zachowaniem należytej staranności.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§5</w:t>
      </w:r>
    </w:p>
    <w:p w:rsidR="00496001" w:rsidRDefault="00624BE5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Poddzierżawcy na mocy Umowy przysługiwać będzie prawo korzystania z przedmiotowej nieruchomości na cel określony w §2 ust. 1 w zakresie określonym Umową o obsługę PSZOK. </w:t>
      </w:r>
    </w:p>
    <w:p w:rsidR="00496001" w:rsidRDefault="00624BE5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>
        <w:rPr>
          <w:rFonts w:cs="Times New Roman"/>
          <w:sz w:val="24"/>
          <w:szCs w:val="24"/>
        </w:rPr>
        <w:t>Na terenie nieruchomości mogą być zbierane w okresie roku odpady następującego rodzaju i w następującej masie: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15 01 01 – Opakowania z papieru i tektury – 5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15 01 02 – Opakowania z tworzyw sztucznych – 5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15 01 05 – Opakowania wielomateriałowe – 5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 xml:space="preserve">15 01 07 – Opakowania ze szkła – </w:t>
      </w:r>
      <w:r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 xml:space="preserve">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15 01 10*– Opakowania zawierające pozostałości substancji niebezpiecznych lub nimi zanieczyszczone – 2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16 01 03 – Zużyte opony – 35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17 01 01 – Odpady betonu oraz gruz betonowy z rozbiórek i remontów – 50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17 01 02 – Gruz ceglany – 10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 xml:space="preserve">17 01 03 – Odpady innych materiałów ceramicznych i elementów wyposażenia – 10 Mg 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17 01 07 – Zmieszane odpady z betonu, gruzu ceglanego, odpadowych materiałów ceramicznych i elementów wyposażenia inne niż wymienione w 17 01 06 – 10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17 02 01 – Drewno – 50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17 02 03 – Tworzywa sztuczne – 2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17 06 04 – Materiały izolacyjne inne niż wymienione w 17 06 01 i 17 06 03 – 5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17 09 04 – Zmieszane odpady z budowy, remontów i demontażu inne niż wymienione w 17 09 01, 17 09 02 i 17 09 03 – 150 Mg</w:t>
      </w:r>
    </w:p>
    <w:p w:rsidR="00496001" w:rsidRDefault="00624BE5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17 01 80 – usunięte tynki, tapety, okleiny itp. - 5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 xml:space="preserve">20 01 01 – Papier i tektura – </w:t>
      </w:r>
      <w:r>
        <w:rPr>
          <w:color w:val="000000"/>
          <w:sz w:val="24"/>
          <w:szCs w:val="24"/>
        </w:rPr>
        <w:t>5</w:t>
      </w:r>
      <w:r>
        <w:rPr>
          <w:sz w:val="24"/>
          <w:szCs w:val="24"/>
        </w:rPr>
        <w:t xml:space="preserve">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02 – Szkło -</w:t>
      </w:r>
      <w:r>
        <w:rPr>
          <w:color w:val="000000"/>
          <w:sz w:val="24"/>
          <w:szCs w:val="24"/>
        </w:rPr>
        <w:t xml:space="preserve"> 10</w:t>
      </w:r>
      <w:r>
        <w:rPr>
          <w:sz w:val="24"/>
          <w:szCs w:val="24"/>
        </w:rPr>
        <w:t xml:space="preserve">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08 – Odpady kuchenne ulegające biodegradacji – 3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lastRenderedPageBreak/>
        <w:t>20 01 10 – Odzież z włókien naturalnych – 10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11 – Tekstylia z włókien naturalnych – 3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21* – Lampy fluorescencyjne i inne odpady zawierające rtęć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23* – Urządzenia zawierające freony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20 01 27* – Farby, tusze, farby drukarskie, kleje, lepiszcze i żywice zawierające substancje niebezpieczne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32  –  Leki inne niż wymienione w 20 01 31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 xml:space="preserve">20 01 33* – Baterie i akumulatory łącznie z bateriami i akumulatorami wymienionymi                                      </w:t>
      </w:r>
    </w:p>
    <w:p w:rsidR="00496001" w:rsidRDefault="00624BE5">
      <w:pPr>
        <w:pStyle w:val="Akapitzlist1"/>
        <w:tabs>
          <w:tab w:val="left" w:pos="709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w 16 06 01, 16 06 02 lub 16 06 03 oraz niesortowane baterie i akumulatory zawierające te baterie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34 – Baterie i akumulatory inne niż wymienione w 20 01 33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20 01 35* – Zużyte urządzenia elektryczne i elektroniczne inne niż wymienione w 20 01 21 i 20 01 23 zawierające niebezpieczne składniki – 30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20 01 36 – Zużyte urządzenia elektryczne i elektroniczne inne niż wymienione w 20 01 21, 20 01 23 i 20 01 35 – 10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38 – Drewno inne niż wymienione w 20 01 37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01 39 – Tworzywa sztuczne – 2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20 01 99 - </w:t>
      </w:r>
      <w:r>
        <w:rPr>
          <w:bCs/>
          <w:kern w:val="0"/>
          <w:sz w:val="24"/>
          <w:szCs w:val="24"/>
          <w:lang w:eastAsia="pl-PL"/>
        </w:rPr>
        <w:t>Odpady z gospodarstw domowych powstałe w wyniku przyjmowania produktów leczniczych w formie iniekcji i prowadzenia monitoringu poziomu substancji we krwi, w tym igły i strzykawki – 1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 xml:space="preserve">20 02 01 – Odpady ulegające biodegradacji – </w:t>
      </w:r>
      <w:r>
        <w:rPr>
          <w:color w:val="000000"/>
          <w:sz w:val="24"/>
          <w:szCs w:val="24"/>
        </w:rPr>
        <w:t>300</w:t>
      </w:r>
      <w:r>
        <w:rPr>
          <w:sz w:val="24"/>
          <w:szCs w:val="24"/>
        </w:rPr>
        <w:t xml:space="preserve">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1134" w:hanging="850"/>
        <w:rPr>
          <w:sz w:val="24"/>
          <w:szCs w:val="24"/>
        </w:rPr>
      </w:pPr>
      <w:r>
        <w:rPr>
          <w:sz w:val="24"/>
          <w:szCs w:val="24"/>
        </w:rPr>
        <w:t>20 03 07 – Odpady wielkogabarytowe -150 Mg</w:t>
      </w:r>
    </w:p>
    <w:p w:rsidR="00496001" w:rsidRDefault="00624BE5">
      <w:pPr>
        <w:pStyle w:val="Akapitzlist1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13 02 05 - </w:t>
      </w:r>
      <w:r>
        <w:rPr>
          <w:kern w:val="0"/>
          <w:sz w:val="24"/>
          <w:szCs w:val="24"/>
          <w:lang w:eastAsia="pl-PL"/>
        </w:rPr>
        <w:t xml:space="preserve">Mineralne oleje silnikowe, przekładniowe i smarowe niezawierające związków </w:t>
      </w:r>
      <w:proofErr w:type="spellStart"/>
      <w:r>
        <w:rPr>
          <w:kern w:val="0"/>
          <w:sz w:val="24"/>
          <w:szCs w:val="24"/>
          <w:lang w:eastAsia="pl-PL"/>
        </w:rPr>
        <w:t>chlorowcoorganicznych</w:t>
      </w:r>
      <w:proofErr w:type="spellEnd"/>
      <w:r>
        <w:rPr>
          <w:kern w:val="0"/>
          <w:sz w:val="24"/>
          <w:szCs w:val="24"/>
          <w:lang w:eastAsia="pl-PL"/>
        </w:rPr>
        <w:t xml:space="preserve"> – 2 </w:t>
      </w:r>
      <w:proofErr w:type="spellStart"/>
      <w:r>
        <w:rPr>
          <w:kern w:val="0"/>
          <w:sz w:val="24"/>
          <w:szCs w:val="24"/>
          <w:lang w:eastAsia="pl-PL"/>
        </w:rPr>
        <w:t>Mg</w:t>
      </w:r>
      <w:proofErr w:type="spellEnd"/>
      <w:r>
        <w:rPr>
          <w:kern w:val="0"/>
          <w:sz w:val="24"/>
          <w:szCs w:val="24"/>
          <w:lang w:eastAsia="pl-PL"/>
        </w:rPr>
        <w:t>.</w:t>
      </w:r>
    </w:p>
    <w:p w:rsidR="00496001" w:rsidRDefault="00624BE5">
      <w:pPr>
        <w:pStyle w:val="Akapitzlist1"/>
        <w:tabs>
          <w:tab w:val="left" w:pos="709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96001" w:rsidRDefault="00624BE5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>
        <w:rPr>
          <w:rFonts w:cs="Times New Roman"/>
          <w:sz w:val="24"/>
          <w:szCs w:val="24"/>
        </w:rPr>
        <w:t>Poddzierżawca oświadcza, że jest</w:t>
      </w:r>
      <w:r>
        <w:rPr>
          <w:sz w:val="24"/>
          <w:szCs w:val="24"/>
        </w:rPr>
        <w:t xml:space="preserve"> świadomy odpowiedzialności solidarnej, o której mowa w art. 12 ustawy z dnia 13 kwietnia 2007 r. o zapobieganiu szkodom w środowisku i ich naprawie.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§6</w:t>
      </w:r>
    </w:p>
    <w:p w:rsidR="00496001" w:rsidRDefault="00624BE5">
      <w:pPr>
        <w:pStyle w:val="Akapitzlist"/>
        <w:numPr>
          <w:ilvl w:val="0"/>
          <w:numId w:val="2"/>
        </w:numPr>
        <w:spacing w:after="0" w:line="276" w:lineRule="auto"/>
        <w:ind w:left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Poddzierżawca zobowiązuje się ponosić wszelkie koszty związane z bieżącym utrzymaniem oraz korzystaniem z nieruchomości, będącej przedmiotem poddzierżawy i urządzeń na niej zlokalizowanych.</w:t>
      </w:r>
    </w:p>
    <w:p w:rsidR="00496001" w:rsidRDefault="00624BE5">
      <w:pPr>
        <w:pStyle w:val="Akapitzlist"/>
        <w:numPr>
          <w:ilvl w:val="0"/>
          <w:numId w:val="2"/>
        </w:numPr>
        <w:spacing w:after="0" w:line="276" w:lineRule="auto"/>
        <w:ind w:left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Poddzierżawca</w:t>
      </w:r>
      <w:r>
        <w:rPr>
          <w:sz w:val="24"/>
          <w:szCs w:val="24"/>
        </w:rPr>
        <w:t xml:space="preserve"> zobowiązuje się do: </w:t>
      </w:r>
    </w:p>
    <w:p w:rsidR="00496001" w:rsidRDefault="00624BE5">
      <w:pPr>
        <w:pStyle w:val="Akapitzlist"/>
        <w:numPr>
          <w:ilvl w:val="0"/>
          <w:numId w:val="7"/>
        </w:numPr>
        <w:spacing w:after="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umożliwienia Wydzierżawiającemu dokonania koniecznych prac budowlanych i konserwacyjnych na nieruchomości. Wydzierżawiający zobowiązuje się powiadomić Poddzierżawcę o planowanym terminie takich prac, za wyjątkiem sytuacji mogących spowodować zagrożenie mienia, życia lub zdrowia. </w:t>
      </w:r>
    </w:p>
    <w:p w:rsidR="00496001" w:rsidRDefault="00624BE5">
      <w:pPr>
        <w:pStyle w:val="Akapitzlist"/>
        <w:numPr>
          <w:ilvl w:val="0"/>
          <w:numId w:val="7"/>
        </w:numPr>
        <w:spacing w:after="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udostępniania nieruchomości w celu dokonania przez Wydzierżawiającego kontroli prawidłowości jej eksploatacji. Wydzierżawiający dołoży należytych starań, aby kontrole te nie utrudniały działalności prowadzonej przez Poddzierżawcę;</w:t>
      </w:r>
    </w:p>
    <w:p w:rsidR="00496001" w:rsidRDefault="00624BE5">
      <w:pPr>
        <w:pStyle w:val="Akapitzlist"/>
        <w:numPr>
          <w:ilvl w:val="0"/>
          <w:numId w:val="7"/>
        </w:numPr>
        <w:spacing w:after="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informowania Wydzierżawiającego bez zbędnej zwłoki o wszelkich awariach, usterkach lub zagrożeniach na nieruchomości. </w:t>
      </w:r>
    </w:p>
    <w:p w:rsidR="00496001" w:rsidRDefault="00624BE5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Dokonanie przez Poddzierżawcę jakichkolwiek zmian adaptacyjnych na nieruchomości, w szczególności zmian budowlanych, może nastąpić jedynie po uprzednim przedstawieniu projektu zmian Wydzierżawiającemu i uzyskaniu jego pisemnej zgody na </w:t>
      </w:r>
      <w:r>
        <w:rPr>
          <w:sz w:val="24"/>
          <w:szCs w:val="24"/>
        </w:rPr>
        <w:lastRenderedPageBreak/>
        <w:t xml:space="preserve">zmiany. Zmiany takie Poddzierżawca przeprowadza na swój koszt i na własne ryzyko i winny być one dokonywane zgodnie z przepisami prawa budowlanego po uprzednim uzyskaniu ewentualnych koniecznych zezwoleń. </w:t>
      </w:r>
    </w:p>
    <w:p w:rsidR="00496001" w:rsidRDefault="00624BE5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Poddzierżawca jest zobowiązany uzyskać pisemną zgodę Wydzierżawiającego na umieszczenie własnych lub cudzych znaków, oznaczeń, symboli lub reklam na terenie nieruchomości. Poddzierżawca ponosi koszt ich wykonania i umieszczenia.</w:t>
      </w:r>
    </w:p>
    <w:p w:rsidR="00496001" w:rsidRDefault="00624BE5">
      <w:pPr>
        <w:pStyle w:val="Akapitzlist"/>
        <w:spacing w:after="0" w:line="276" w:lineRule="auto"/>
        <w:ind w:left="0"/>
        <w:rPr>
          <w:sz w:val="24"/>
          <w:szCs w:val="24"/>
        </w:rPr>
      </w:pPr>
      <w:r>
        <w:rPr>
          <w:rFonts w:cs="Times New Roman"/>
          <w:sz w:val="24"/>
          <w:szCs w:val="24"/>
        </w:rPr>
        <w:t>§7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Po wydaniu nieruchomości, Poddzierżawca zobowiązuje się do uiszczenia na rzecz Wydzierżawiającego czynszu w wysokości ………………......... zł (słownie złotych: ………………………../100) netto miesięcznie w terminie wskazanym w ust.5. Stawka czynszu podlega podwyższeniu o obowiązującą zgodnie z odrębnymi przepisami stawkę podatku od towarów i usług (VAT), w związku z czym na dzień zawarcia umowy stawka czynszu brutto wynosi ……………. zł (słownie złotych: ….............................................../100).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Strony zgodnie postanawiają również, że w razie zmiany obowiązujących przepisów określających wysokość stawek podatku od towarów i usług, czynsz dzierżawny brutto ulegnie zmianie polegającej na uwzględnieniu nowej wysokości stawki ww. podatku. Zmieniona wysokość czynszu obowiązywać będzie od czasu oznaczonego we właściwych przepisach prawa, natomiast zmiana umowy w przedmiotowym zakresie odbywać się będzie automatycznie, bez konieczności sporządzania i podpisywania aneksu do umowy.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Wysokość i charakter nakładów poniesionych dodatkowo na doposażenie PSZOK przez Poddzierżawcę nie ma wpływu na wysokość ustalonego i pobieranego przez Wydzierżawiającego czynszu dzierżawnego. 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niepełnych miesięcy wykonywania umowy, kwota czynszu zostanie obliczona proporcjonalnie do liczby dni obowiązywania umowy w danym miesiącu. 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Czynsz jest płatny w okresach miesięcznych z góry w terminie do dnia 10 każdego miesiąca.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Czynsz jest płatny na podstawie faktur VAT wystawionych przez Wydzierżawiającego co najmniej na 7 dni przed terminem płatności, na wskazany przez niego rachunek bankowy.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Poddzierżawca oświadcza, iż jest pła</w:t>
      </w:r>
      <w:r w:rsidR="00686D63">
        <w:rPr>
          <w:rFonts w:cs="Times New Roman"/>
          <w:sz w:val="24"/>
          <w:szCs w:val="24"/>
        </w:rPr>
        <w:t xml:space="preserve">tnikiem podatku VAT i upoważnia </w:t>
      </w:r>
      <w:r>
        <w:rPr>
          <w:rFonts w:cs="Times New Roman"/>
          <w:sz w:val="24"/>
          <w:szCs w:val="24"/>
        </w:rPr>
        <w:t xml:space="preserve">Wydzierżawiającego do wystawiania faktur bez jego podpisu.  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bCs/>
          <w:sz w:val="24"/>
          <w:szCs w:val="24"/>
        </w:rPr>
      </w:pPr>
      <w:r>
        <w:rPr>
          <w:sz w:val="24"/>
          <w:szCs w:val="24"/>
        </w:rPr>
        <w:t xml:space="preserve">Poddzierżawca wyraża </w:t>
      </w:r>
      <w:r>
        <w:rPr>
          <w:rFonts w:cs="Calibri"/>
          <w:sz w:val="24"/>
          <w:szCs w:val="24"/>
        </w:rPr>
        <w:t xml:space="preserve">zgodę na otrzymywanie faktur elektronicznych, wnosząc o ich przesyłanie na następujący adres poczty elektronicznej </w:t>
      </w:r>
      <w:r>
        <w:rPr>
          <w:rFonts w:cs="Calibri"/>
          <w:bCs/>
          <w:sz w:val="24"/>
          <w:szCs w:val="24"/>
        </w:rPr>
        <w:t>…………………….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Czynsz nie obejmuje opłat związanych z bieżącą działalnością wydzierżawionego obiektu – za korzystanie z energii elektrycznej, cieplnej, gazu, dostaw wody i odprowadzenia ścieków, telefonów oraz innych opłat za wykorzystanie mediów, które będą rozliczane następująco:</w:t>
      </w:r>
    </w:p>
    <w:p w:rsidR="00496001" w:rsidRDefault="00624BE5">
      <w:pPr>
        <w:pStyle w:val="Akapitzlist"/>
        <w:numPr>
          <w:ilvl w:val="1"/>
          <w:numId w:val="8"/>
        </w:numPr>
        <w:spacing w:after="0" w:line="276" w:lineRule="auto"/>
        <w:ind w:left="851" w:hanging="425"/>
        <w:rPr>
          <w:strike/>
          <w:sz w:val="24"/>
          <w:szCs w:val="24"/>
        </w:rPr>
      </w:pPr>
      <w:r>
        <w:rPr>
          <w:sz w:val="24"/>
          <w:szCs w:val="24"/>
        </w:rPr>
        <w:t xml:space="preserve">koszty za korzystanie z energii elektrycznej, cieplnej, gazu, dostaw wody, odprowadzania ścieków - </w:t>
      </w:r>
      <w:r>
        <w:rPr>
          <w:rFonts w:cs="Times New Roman"/>
          <w:sz w:val="24"/>
          <w:szCs w:val="24"/>
        </w:rPr>
        <w:t xml:space="preserve">będą pokrywane przez Poddzierżawcę na podstawie umów, które Poddzierżawca zawrze bezpośrednio z dostawcami wyżej wymienionych usług. </w:t>
      </w:r>
      <w:r>
        <w:rPr>
          <w:sz w:val="24"/>
          <w:szCs w:val="24"/>
        </w:rPr>
        <w:t>Rozliczane będą odrębnymi fakturami, otrzymanymi od poszczególnych dostawców.</w:t>
      </w:r>
      <w:r>
        <w:rPr>
          <w:strike/>
          <w:sz w:val="24"/>
          <w:szCs w:val="24"/>
        </w:rPr>
        <w:t xml:space="preserve"> </w:t>
      </w:r>
      <w:r>
        <w:rPr>
          <w:rFonts w:cs="Calibri"/>
          <w:strike/>
          <w:sz w:val="24"/>
          <w:szCs w:val="24"/>
        </w:rPr>
        <w:t xml:space="preserve"> </w:t>
      </w:r>
    </w:p>
    <w:p w:rsidR="00496001" w:rsidRDefault="00624BE5">
      <w:pPr>
        <w:pStyle w:val="Akapitzlist"/>
        <w:numPr>
          <w:ilvl w:val="1"/>
          <w:numId w:val="8"/>
        </w:numPr>
        <w:spacing w:after="0" w:line="276" w:lineRule="auto"/>
        <w:ind w:left="851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koszty związane z użytkowaniem telefonów stacjonarnych i mobilnych, usługą dostępu do Internetu będą pokrywane przez Poddzierżawcę na podstawie umów, które Poddzierżawca zawrze bezpośrednio z dostawcami wyżej wymienionych usług.</w:t>
      </w:r>
    </w:p>
    <w:p w:rsidR="00496001" w:rsidRDefault="00624B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Poddzierżawca</w:t>
      </w:r>
      <w:r>
        <w:rPr>
          <w:rFonts w:cs="Times New Roman"/>
          <w:color w:val="000000"/>
          <w:sz w:val="24"/>
          <w:szCs w:val="24"/>
        </w:rPr>
        <w:t xml:space="preserve"> nie jest uprawniony do potrącenia z należnego czynszu i innych opłat wynikających z niniejszej Umowy jakichkolwiek przysługujących mu wierzytelności wobec Wydzierżawiającego.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§8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Wydzierżawiający nie wyraża zgody na oddanie przez Poddzierżawcę przedmiotu umowy określonego w §1 osobie trzeciej w dalszą poddzierżawę lub nieodpłatne użyczenie.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§9</w:t>
      </w:r>
    </w:p>
    <w:p w:rsidR="00496001" w:rsidRDefault="00624BE5">
      <w:pPr>
        <w:pStyle w:val="Akapitzlist"/>
        <w:numPr>
          <w:ilvl w:val="0"/>
          <w:numId w:val="4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Umowa niniejsza może zostać rozwiązana za porozumieniem stron w terminie przez nie zgodnie ustalonym.</w:t>
      </w:r>
    </w:p>
    <w:p w:rsidR="00496001" w:rsidRDefault="00624BE5">
      <w:pPr>
        <w:pStyle w:val="Akapitzlist"/>
        <w:numPr>
          <w:ilvl w:val="0"/>
          <w:numId w:val="4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Wydzierżawiający może odstąpić od niniejszej umowy przed wydaniem nieruchomości Poddzierżawcy w przypadku, gdy Poddzierżawca nie dokona zgłoszenia gotowości do świadczenia Umowy o obsługę PSZOK w uzgodnionym terminie. Wydzierżawiający może złożyć oświadczenie o odstąpieniu w terminie 5 dni od dnia upływu terminu, w jakim Poddzierżawca miał obowiązek najpóźniej zgłosić gotowość do obsługi PSZOK.</w:t>
      </w:r>
    </w:p>
    <w:p w:rsidR="00496001" w:rsidRDefault="00624BE5">
      <w:pPr>
        <w:pStyle w:val="Akapitzlist"/>
        <w:numPr>
          <w:ilvl w:val="0"/>
          <w:numId w:val="4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Wydzierżawiającemu przysługuje prawo wypowiedzenia umowy w trybie natychmiastowym w przypadku rozwiązania Umowy o obsługę PSZOK. </w:t>
      </w:r>
    </w:p>
    <w:p w:rsidR="00496001" w:rsidRDefault="00624BE5">
      <w:pPr>
        <w:pStyle w:val="Akapitzlist"/>
        <w:numPr>
          <w:ilvl w:val="0"/>
          <w:numId w:val="4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 rozwiązaniu umowy, Poddzierżawcy nie przysługuje roszczenie o zwrot nakładów na nieruchomości. </w:t>
      </w:r>
    </w:p>
    <w:p w:rsidR="00496001" w:rsidRDefault="00624BE5">
      <w:pPr>
        <w:pStyle w:val="Akapitzlist"/>
        <w:numPr>
          <w:ilvl w:val="0"/>
          <w:numId w:val="4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Zwrot nieruchomości nastąpi na podstawie protokołu zdawczo – odbiorczego w terminie 2 dni roboczych od dnia rozwiązania umowy, niezależnie od podstawy rozwiązania. </w:t>
      </w:r>
    </w:p>
    <w:p w:rsidR="00496001" w:rsidRDefault="00624BE5">
      <w:p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§10</w:t>
      </w:r>
    </w:p>
    <w:p w:rsidR="00496001" w:rsidRDefault="00624BE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Zmiana niniejszej umowy wymaga formy pisemnej pod rygorem nieważności.</w:t>
      </w:r>
    </w:p>
    <w:p w:rsidR="00496001" w:rsidRDefault="00624BE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Spory wynikłe z niniejszej umowy rozstrzygać będzie każdorazowo sąd powszechny właściwy dla Wydzierżawiającego.</w:t>
      </w:r>
    </w:p>
    <w:p w:rsidR="00496001" w:rsidRDefault="00624BE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W sprawach nieuregulowanych niniejszą umową stosuje się przepisy Kodeksu cywilnego.</w:t>
      </w:r>
    </w:p>
    <w:p w:rsidR="00496001" w:rsidRDefault="00624BE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Umowę sporządzono w dwóch jednobrzmiących egzemplarzach, po jednym dla każdej ze stron.</w:t>
      </w:r>
    </w:p>
    <w:p w:rsidR="00496001" w:rsidRDefault="00496001">
      <w:pPr>
        <w:pStyle w:val="Akapitzlist"/>
        <w:spacing w:after="0" w:line="276" w:lineRule="auto"/>
        <w:ind w:left="426"/>
        <w:rPr>
          <w:sz w:val="24"/>
          <w:szCs w:val="24"/>
        </w:rPr>
      </w:pP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496001">
      <w:pPr>
        <w:spacing w:after="0" w:line="276" w:lineRule="auto"/>
        <w:rPr>
          <w:rFonts w:cs="Times New Roman"/>
          <w:sz w:val="24"/>
          <w:szCs w:val="24"/>
        </w:rPr>
      </w:pPr>
    </w:p>
    <w:p w:rsidR="00496001" w:rsidRDefault="00624BE5">
      <w:pPr>
        <w:spacing w:after="0" w:line="276" w:lineRule="auto"/>
      </w:pPr>
      <w:r>
        <w:rPr>
          <w:rFonts w:cs="Times New Roman"/>
          <w:sz w:val="24"/>
          <w:szCs w:val="24"/>
        </w:rPr>
        <w:t>Wydzierżawiający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Poddzierżawca</w:t>
      </w:r>
    </w:p>
    <w:sectPr w:rsidR="00496001" w:rsidSect="008F3B03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289"/>
    <w:multiLevelType w:val="multilevel"/>
    <w:tmpl w:val="160ABE04"/>
    <w:lvl w:ilvl="0">
      <w:start w:val="1"/>
      <w:numFmt w:val="decimal"/>
      <w:lvlText w:val="%1)"/>
      <w:lvlJc w:val="left"/>
      <w:pPr>
        <w:ind w:left="2347" w:hanging="360"/>
      </w:pPr>
    </w:lvl>
    <w:lvl w:ilvl="1">
      <w:start w:val="1"/>
      <w:numFmt w:val="decimal"/>
      <w:lvlText w:val="%2)"/>
      <w:lvlJc w:val="left"/>
      <w:pPr>
        <w:ind w:left="3067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3787" w:hanging="180"/>
      </w:pPr>
    </w:lvl>
    <w:lvl w:ilvl="3">
      <w:start w:val="1"/>
      <w:numFmt w:val="decimal"/>
      <w:lvlText w:val="%4."/>
      <w:lvlJc w:val="left"/>
      <w:pPr>
        <w:ind w:left="4507" w:hanging="360"/>
      </w:pPr>
    </w:lvl>
    <w:lvl w:ilvl="4">
      <w:start w:val="1"/>
      <w:numFmt w:val="lowerLetter"/>
      <w:lvlText w:val="%5."/>
      <w:lvlJc w:val="left"/>
      <w:pPr>
        <w:ind w:left="5227" w:hanging="360"/>
      </w:pPr>
    </w:lvl>
    <w:lvl w:ilvl="5">
      <w:start w:val="1"/>
      <w:numFmt w:val="lowerRoman"/>
      <w:lvlText w:val="%6."/>
      <w:lvlJc w:val="right"/>
      <w:pPr>
        <w:ind w:left="5947" w:hanging="180"/>
      </w:pPr>
    </w:lvl>
    <w:lvl w:ilvl="6">
      <w:start w:val="1"/>
      <w:numFmt w:val="decimal"/>
      <w:lvlText w:val="%7."/>
      <w:lvlJc w:val="left"/>
      <w:pPr>
        <w:ind w:left="6667" w:hanging="360"/>
      </w:pPr>
    </w:lvl>
    <w:lvl w:ilvl="7">
      <w:start w:val="1"/>
      <w:numFmt w:val="lowerLetter"/>
      <w:lvlText w:val="%8."/>
      <w:lvlJc w:val="left"/>
      <w:pPr>
        <w:ind w:left="7387" w:hanging="360"/>
      </w:pPr>
    </w:lvl>
    <w:lvl w:ilvl="8">
      <w:start w:val="1"/>
      <w:numFmt w:val="lowerRoman"/>
      <w:lvlText w:val="%9."/>
      <w:lvlJc w:val="right"/>
      <w:pPr>
        <w:ind w:left="8107" w:hanging="180"/>
      </w:pPr>
    </w:lvl>
  </w:abstractNum>
  <w:abstractNum w:abstractNumId="1">
    <w:nsid w:val="179C60EC"/>
    <w:multiLevelType w:val="multilevel"/>
    <w:tmpl w:val="EEEA3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81D"/>
    <w:multiLevelType w:val="multilevel"/>
    <w:tmpl w:val="EC26F98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D02B3D"/>
    <w:multiLevelType w:val="multilevel"/>
    <w:tmpl w:val="B2F627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2A23"/>
    <w:multiLevelType w:val="multilevel"/>
    <w:tmpl w:val="DF124A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49F6"/>
    <w:multiLevelType w:val="multilevel"/>
    <w:tmpl w:val="3FC00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A770899"/>
    <w:multiLevelType w:val="multilevel"/>
    <w:tmpl w:val="07BAC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329B"/>
    <w:multiLevelType w:val="multilevel"/>
    <w:tmpl w:val="5D0036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06AC"/>
    <w:multiLevelType w:val="multilevel"/>
    <w:tmpl w:val="3458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049"/>
    <w:multiLevelType w:val="multilevel"/>
    <w:tmpl w:val="C456C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6F35"/>
    <w:multiLevelType w:val="multilevel"/>
    <w:tmpl w:val="478A0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04FC"/>
    <w:multiLevelType w:val="multilevel"/>
    <w:tmpl w:val="C3FE830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)"/>
      <w:lvlJc w:val="left"/>
      <w:pPr>
        <w:ind w:left="2880" w:hanging="360"/>
      </w:pPr>
      <w:rPr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E6711E8"/>
    <w:multiLevelType w:val="multilevel"/>
    <w:tmpl w:val="5DA8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6001"/>
    <w:rsid w:val="00496001"/>
    <w:rsid w:val="00624BE5"/>
    <w:rsid w:val="00686D63"/>
    <w:rsid w:val="008F3B03"/>
    <w:rsid w:val="00A86C84"/>
    <w:rsid w:val="00D36BD7"/>
    <w:rsid w:val="00D40467"/>
    <w:rsid w:val="00E5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4B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40600"/>
    <w:rPr>
      <w:sz w:val="20"/>
      <w:szCs w:val="20"/>
    </w:rPr>
  </w:style>
  <w:style w:type="character" w:customStyle="1" w:styleId="Zakotwiczenieprzypisukocowego">
    <w:name w:val="Zakotwiczenie przypisu końcowego"/>
    <w:rsid w:val="00062C4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40600"/>
    <w:rPr>
      <w:vertAlign w:val="superscript"/>
    </w:rPr>
  </w:style>
  <w:style w:type="character" w:customStyle="1" w:styleId="Wyrnienie">
    <w:name w:val="Wyróżnienie"/>
    <w:qFormat/>
    <w:rsid w:val="00062C4B"/>
    <w:rPr>
      <w:i/>
      <w:iCs/>
    </w:rPr>
  </w:style>
  <w:style w:type="character" w:customStyle="1" w:styleId="czeinternetowe">
    <w:name w:val="Łącze internetowe"/>
    <w:rsid w:val="00062C4B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62C4B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2C4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DD5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2DD5"/>
    <w:rPr>
      <w:b/>
      <w:bCs/>
      <w:szCs w:val="20"/>
    </w:rPr>
  </w:style>
  <w:style w:type="character" w:customStyle="1" w:styleId="Znakinumeracji">
    <w:name w:val="Znaki numeracji"/>
    <w:qFormat/>
    <w:rsid w:val="00062C4B"/>
  </w:style>
  <w:style w:type="character" w:customStyle="1" w:styleId="ListLabel1">
    <w:name w:val="ListLabel 1"/>
    <w:qFormat/>
    <w:rsid w:val="00062C4B"/>
    <w:rPr>
      <w:b/>
      <w:sz w:val="20"/>
      <w:szCs w:val="20"/>
    </w:rPr>
  </w:style>
  <w:style w:type="character" w:customStyle="1" w:styleId="ListLabel2">
    <w:name w:val="ListLabel 2"/>
    <w:qFormat/>
    <w:rsid w:val="00062C4B"/>
    <w:rPr>
      <w:rFonts w:cs="Times New Roman"/>
    </w:rPr>
  </w:style>
  <w:style w:type="character" w:customStyle="1" w:styleId="ListLabel3">
    <w:name w:val="ListLabel 3"/>
    <w:qFormat/>
    <w:rsid w:val="00062C4B"/>
    <w:rPr>
      <w:rFonts w:ascii="Times New Roman" w:hAnsi="Times New Roman"/>
      <w:b/>
      <w:sz w:val="20"/>
      <w:szCs w:val="20"/>
    </w:rPr>
  </w:style>
  <w:style w:type="character" w:customStyle="1" w:styleId="ListLabel4">
    <w:name w:val="ListLabel 4"/>
    <w:qFormat/>
    <w:rsid w:val="00062C4B"/>
    <w:rPr>
      <w:rFonts w:cs="Times New Roman"/>
    </w:rPr>
  </w:style>
  <w:style w:type="character" w:customStyle="1" w:styleId="ListLabel5">
    <w:name w:val="ListLabel 5"/>
    <w:qFormat/>
    <w:rsid w:val="008F3B03"/>
    <w:rPr>
      <w:b/>
      <w:sz w:val="24"/>
    </w:rPr>
  </w:style>
  <w:style w:type="character" w:customStyle="1" w:styleId="ListLabel6">
    <w:name w:val="ListLabel 6"/>
    <w:qFormat/>
    <w:rsid w:val="008F3B03"/>
    <w:rPr>
      <w:strike w:val="0"/>
      <w:dstrike w:val="0"/>
      <w:sz w:val="24"/>
    </w:rPr>
  </w:style>
  <w:style w:type="character" w:customStyle="1" w:styleId="ListLabel7">
    <w:name w:val="ListLabel 7"/>
    <w:qFormat/>
    <w:rsid w:val="008F3B03"/>
    <w:rPr>
      <w:rFonts w:cs="Times New Roman"/>
      <w:sz w:val="24"/>
      <w:szCs w:val="22"/>
    </w:rPr>
  </w:style>
  <w:style w:type="character" w:customStyle="1" w:styleId="ListLabel8">
    <w:name w:val="ListLabel 8"/>
    <w:qFormat/>
    <w:rsid w:val="008F3B03"/>
    <w:rPr>
      <w:b/>
      <w:sz w:val="24"/>
      <w:szCs w:val="20"/>
    </w:rPr>
  </w:style>
  <w:style w:type="character" w:customStyle="1" w:styleId="ListLabel9">
    <w:name w:val="ListLabel 9"/>
    <w:qFormat/>
    <w:rsid w:val="008F3B03"/>
    <w:rPr>
      <w:rFonts w:cs="Times New Roman"/>
    </w:rPr>
  </w:style>
  <w:style w:type="paragraph" w:styleId="Nagwek">
    <w:name w:val="header"/>
    <w:basedOn w:val="Normalny"/>
    <w:next w:val="Tekstpodstawowy"/>
    <w:qFormat/>
    <w:rsid w:val="00062C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62C4B"/>
    <w:pPr>
      <w:spacing w:after="140" w:line="276" w:lineRule="auto"/>
    </w:pPr>
  </w:style>
  <w:style w:type="paragraph" w:styleId="Lista">
    <w:name w:val="List"/>
    <w:basedOn w:val="Tekstpodstawowy"/>
    <w:rsid w:val="00062C4B"/>
    <w:rPr>
      <w:rFonts w:cs="Arial"/>
    </w:rPr>
  </w:style>
  <w:style w:type="paragraph" w:styleId="Legenda">
    <w:name w:val="caption"/>
    <w:basedOn w:val="Normalny"/>
    <w:qFormat/>
    <w:rsid w:val="00062C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2C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62C4B"/>
  </w:style>
  <w:style w:type="paragraph" w:styleId="Akapitzlist">
    <w:name w:val="List Paragraph"/>
    <w:basedOn w:val="Normalny"/>
    <w:uiPriority w:val="34"/>
    <w:qFormat/>
    <w:rsid w:val="001F1E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60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62C4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D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42DD5"/>
    <w:rPr>
      <w:b/>
      <w:bCs/>
    </w:rPr>
  </w:style>
  <w:style w:type="paragraph" w:customStyle="1" w:styleId="Standard">
    <w:name w:val="Standard"/>
    <w:qFormat/>
    <w:rsid w:val="00062C4B"/>
    <w:pPr>
      <w:spacing w:after="120" w:line="276" w:lineRule="auto"/>
      <w:textAlignment w:val="baseline"/>
    </w:pPr>
    <w:rPr>
      <w:rFonts w:eastAsia="SimSun" w:cs="Tahoma"/>
      <w:kern w:val="2"/>
      <w:sz w:val="22"/>
    </w:rPr>
  </w:style>
  <w:style w:type="paragraph" w:customStyle="1" w:styleId="Akapitzlist1">
    <w:name w:val="Akapit z listą1"/>
    <w:basedOn w:val="Standard"/>
    <w:qFormat/>
    <w:rsid w:val="00062C4B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4B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40600"/>
    <w:rPr>
      <w:sz w:val="20"/>
      <w:szCs w:val="20"/>
    </w:rPr>
  </w:style>
  <w:style w:type="character" w:customStyle="1" w:styleId="Zakotwiczenieprzypisukocowego">
    <w:name w:val="Zakotwiczenie przypisu końcowego"/>
    <w:rsid w:val="00062C4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40600"/>
    <w:rPr>
      <w:vertAlign w:val="superscript"/>
    </w:rPr>
  </w:style>
  <w:style w:type="character" w:customStyle="1" w:styleId="Wyrnienie">
    <w:name w:val="Wyróżnienie"/>
    <w:qFormat/>
    <w:rsid w:val="00062C4B"/>
    <w:rPr>
      <w:i/>
      <w:iCs/>
    </w:rPr>
  </w:style>
  <w:style w:type="character" w:customStyle="1" w:styleId="czeinternetowe">
    <w:name w:val="Łącze internetowe"/>
    <w:rsid w:val="00062C4B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62C4B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2C4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DD5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2DD5"/>
    <w:rPr>
      <w:b/>
      <w:bCs/>
      <w:szCs w:val="20"/>
    </w:rPr>
  </w:style>
  <w:style w:type="character" w:customStyle="1" w:styleId="Znakinumeracji">
    <w:name w:val="Znaki numeracji"/>
    <w:qFormat/>
    <w:rsid w:val="00062C4B"/>
  </w:style>
  <w:style w:type="character" w:customStyle="1" w:styleId="ListLabel1">
    <w:name w:val="ListLabel 1"/>
    <w:qFormat/>
    <w:rsid w:val="00062C4B"/>
    <w:rPr>
      <w:b/>
      <w:sz w:val="20"/>
      <w:szCs w:val="20"/>
    </w:rPr>
  </w:style>
  <w:style w:type="character" w:customStyle="1" w:styleId="ListLabel2">
    <w:name w:val="ListLabel 2"/>
    <w:qFormat/>
    <w:rsid w:val="00062C4B"/>
    <w:rPr>
      <w:rFonts w:cs="Times New Roman"/>
    </w:rPr>
  </w:style>
  <w:style w:type="character" w:customStyle="1" w:styleId="ListLabel3">
    <w:name w:val="ListLabel 3"/>
    <w:qFormat/>
    <w:rsid w:val="00062C4B"/>
    <w:rPr>
      <w:rFonts w:ascii="Times New Roman" w:hAnsi="Times New Roman"/>
      <w:b/>
      <w:sz w:val="20"/>
      <w:szCs w:val="20"/>
    </w:rPr>
  </w:style>
  <w:style w:type="character" w:customStyle="1" w:styleId="ListLabel4">
    <w:name w:val="ListLabel 4"/>
    <w:qFormat/>
    <w:rsid w:val="00062C4B"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strike w:val="0"/>
      <w:dstrike w:val="0"/>
      <w:sz w:val="24"/>
    </w:rPr>
  </w:style>
  <w:style w:type="character" w:customStyle="1" w:styleId="ListLabel7">
    <w:name w:val="ListLabel 7"/>
    <w:qFormat/>
    <w:rPr>
      <w:rFonts w:cs="Times New Roman"/>
      <w:sz w:val="24"/>
      <w:szCs w:val="22"/>
    </w:rPr>
  </w:style>
  <w:style w:type="character" w:customStyle="1" w:styleId="ListLabel8">
    <w:name w:val="ListLabel 8"/>
    <w:qFormat/>
    <w:rPr>
      <w:b/>
      <w:sz w:val="24"/>
      <w:szCs w:val="20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rsid w:val="00062C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62C4B"/>
    <w:pPr>
      <w:spacing w:after="140" w:line="276" w:lineRule="auto"/>
    </w:pPr>
  </w:style>
  <w:style w:type="paragraph" w:styleId="Lista">
    <w:name w:val="List"/>
    <w:basedOn w:val="Tekstpodstawowy"/>
    <w:rsid w:val="00062C4B"/>
    <w:rPr>
      <w:rFonts w:cs="Arial"/>
    </w:rPr>
  </w:style>
  <w:style w:type="paragraph" w:styleId="Legenda">
    <w:name w:val="caption"/>
    <w:basedOn w:val="Normalny"/>
    <w:qFormat/>
    <w:rsid w:val="00062C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2C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62C4B"/>
  </w:style>
  <w:style w:type="paragraph" w:styleId="Akapitzlist">
    <w:name w:val="List Paragraph"/>
    <w:basedOn w:val="Normalny"/>
    <w:uiPriority w:val="34"/>
    <w:qFormat/>
    <w:rsid w:val="001F1E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60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62C4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D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42DD5"/>
    <w:rPr>
      <w:b/>
      <w:bCs/>
    </w:rPr>
  </w:style>
  <w:style w:type="paragraph" w:customStyle="1" w:styleId="Standard">
    <w:name w:val="Standard"/>
    <w:qFormat/>
    <w:rsid w:val="00062C4B"/>
    <w:pPr>
      <w:spacing w:after="120" w:line="276" w:lineRule="auto"/>
      <w:textAlignment w:val="baseline"/>
    </w:pPr>
    <w:rPr>
      <w:rFonts w:eastAsia="SimSun" w:cs="Tahoma"/>
      <w:kern w:val="2"/>
      <w:sz w:val="22"/>
    </w:rPr>
  </w:style>
  <w:style w:type="paragraph" w:customStyle="1" w:styleId="Akapitzlist1">
    <w:name w:val="Akapit z listą1"/>
    <w:basedOn w:val="Standard"/>
    <w:qFormat/>
    <w:rsid w:val="00062C4B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Maleszewski</dc:creator>
  <cp:lastModifiedBy>h_szatylowicz</cp:lastModifiedBy>
  <cp:revision>7</cp:revision>
  <cp:lastPrinted>2021-11-29T07:53:00Z</cp:lastPrinted>
  <dcterms:created xsi:type="dcterms:W3CDTF">2021-11-16T13:56:00Z</dcterms:created>
  <dcterms:modified xsi:type="dcterms:W3CDTF">2022-01-14T09:18:00Z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