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94" w:rsidRDefault="008133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OPIS PRZEDMIOTU ZAMÓWIENIA</w:t>
      </w:r>
    </w:p>
    <w:p w:rsidR="00B34F94" w:rsidRDefault="00B34F94">
      <w:pPr>
        <w:rPr>
          <w:rFonts w:ascii="Tahoma" w:hAnsi="Tahoma" w:cs="Tahoma"/>
          <w:sz w:val="20"/>
          <w:szCs w:val="20"/>
        </w:rPr>
      </w:pPr>
    </w:p>
    <w:p w:rsidR="00B34F94" w:rsidRDefault="008133CB">
      <w:pPr>
        <w:numPr>
          <w:ilvl w:val="0"/>
          <w:numId w:val="1"/>
        </w:numPr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Przedmiot zamówienia</w:t>
      </w:r>
    </w:p>
    <w:p w:rsidR="00B34F94" w:rsidRDefault="00B34F94">
      <w:p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B34F94" w:rsidRDefault="008133CB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Przedmiotem zamówienia jest:</w:t>
      </w:r>
    </w:p>
    <w:p w:rsidR="00B34F94" w:rsidRDefault="008133C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Modernizacja przepompowni ściek</w:t>
      </w:r>
      <w:r w:rsidR="00E46BA0">
        <w:rPr>
          <w:rFonts w:ascii="Tahoma" w:hAnsi="Tahoma" w:cs="Tahoma"/>
          <w:b/>
          <w:sz w:val="20"/>
          <w:szCs w:val="20"/>
        </w:rPr>
        <w:t>ów sanitarnych PS-9 wraz z b</w:t>
      </w:r>
      <w:r>
        <w:rPr>
          <w:rFonts w:ascii="Tahoma" w:hAnsi="Tahoma" w:cs="Tahoma"/>
          <w:b/>
          <w:sz w:val="20"/>
          <w:szCs w:val="20"/>
        </w:rPr>
        <w:t>udową przewodu tłocznego kanalizacji sanitarnej dla przepompowni ścieków PS-9 przy ul. Działowej w Toruniu</w:t>
      </w:r>
    </w:p>
    <w:p w:rsidR="00B34F94" w:rsidRDefault="00B34F94">
      <w:pPr>
        <w:jc w:val="both"/>
        <w:rPr>
          <w:rFonts w:ascii="Tahoma" w:hAnsi="Tahoma" w:cs="Tahoma"/>
          <w:sz w:val="20"/>
          <w:szCs w:val="20"/>
        </w:rPr>
      </w:pPr>
    </w:p>
    <w:p w:rsidR="00B34F94" w:rsidRDefault="008133CB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Zakres robót</w:t>
      </w:r>
    </w:p>
    <w:p w:rsidR="00B34F94" w:rsidRDefault="00B34F94">
      <w:pPr>
        <w:ind w:left="426"/>
        <w:rPr>
          <w:rFonts w:ascii="Tahoma" w:hAnsi="Tahoma" w:cs="Tahoma"/>
          <w:b/>
          <w:sz w:val="20"/>
          <w:szCs w:val="20"/>
        </w:rPr>
      </w:pPr>
    </w:p>
    <w:p w:rsidR="00DD7429" w:rsidRPr="00DD7429" w:rsidRDefault="00DD7429" w:rsidP="009253FC">
      <w:pPr>
        <w:pStyle w:val="Akapitzlist"/>
        <w:numPr>
          <w:ilvl w:val="0"/>
          <w:numId w:val="15"/>
        </w:num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D7429">
        <w:rPr>
          <w:rFonts w:ascii="Tahoma" w:hAnsi="Tahoma" w:cs="Tahoma"/>
          <w:color w:val="000000"/>
          <w:sz w:val="20"/>
          <w:szCs w:val="20"/>
        </w:rPr>
        <w:t>Przewód tłoczny kanalizacji sanitarnej</w:t>
      </w:r>
      <w:r w:rsidRPr="00DD7429">
        <w:rPr>
          <w:rFonts w:ascii="Tahoma" w:hAnsi="Tahoma" w:cs="Tahoma"/>
          <w:color w:val="000000"/>
          <w:sz w:val="20"/>
          <w:szCs w:val="20"/>
        </w:rPr>
        <w:tab/>
      </w:r>
      <w:r w:rsidRPr="00DD7429">
        <w:rPr>
          <w:rFonts w:ascii="Tahoma" w:hAnsi="Tahoma" w:cs="Tahoma"/>
          <w:color w:val="000000"/>
          <w:sz w:val="20"/>
          <w:szCs w:val="20"/>
        </w:rPr>
        <w:tab/>
      </w:r>
      <w:r w:rsidRPr="00DD7429">
        <w:rPr>
          <w:rFonts w:ascii="Tahoma" w:hAnsi="Tahoma" w:cs="Tahoma"/>
          <w:color w:val="000000"/>
          <w:sz w:val="20"/>
          <w:szCs w:val="20"/>
        </w:rPr>
        <w:tab/>
      </w:r>
      <w:r w:rsidRPr="00DD7429">
        <w:rPr>
          <w:rFonts w:ascii="Tahoma" w:hAnsi="Tahoma" w:cs="Tahoma"/>
          <w:color w:val="000000"/>
          <w:sz w:val="20"/>
          <w:szCs w:val="20"/>
        </w:rPr>
        <w:tab/>
      </w:r>
      <w:r w:rsidRPr="00DD7429">
        <w:rPr>
          <w:rFonts w:ascii="Tahoma" w:hAnsi="Tahoma" w:cs="Tahoma"/>
          <w:color w:val="000000"/>
          <w:sz w:val="20"/>
          <w:szCs w:val="20"/>
        </w:rPr>
        <w:tab/>
      </w:r>
      <w:r w:rsidR="009253FC">
        <w:rPr>
          <w:rFonts w:ascii="Tahoma" w:hAnsi="Tahoma" w:cs="Tahoma"/>
          <w:color w:val="000000"/>
          <w:sz w:val="20"/>
          <w:szCs w:val="20"/>
        </w:rPr>
        <w:tab/>
      </w:r>
      <w:r w:rsidRPr="00DD7429">
        <w:rPr>
          <w:rFonts w:ascii="Tahoma" w:hAnsi="Tahoma" w:cs="Tahoma"/>
          <w:color w:val="000000"/>
          <w:sz w:val="20"/>
          <w:szCs w:val="20"/>
        </w:rPr>
        <w:t>887,4</w:t>
      </w:r>
      <w:r w:rsidR="009253FC">
        <w:rPr>
          <w:rFonts w:ascii="Tahoma" w:hAnsi="Tahoma" w:cs="Tahoma"/>
          <w:color w:val="000000"/>
          <w:sz w:val="20"/>
          <w:szCs w:val="20"/>
        </w:rPr>
        <w:t> </w:t>
      </w:r>
      <w:r w:rsidRPr="00DD7429">
        <w:rPr>
          <w:rFonts w:ascii="Tahoma" w:hAnsi="Tahoma" w:cs="Tahoma"/>
          <w:color w:val="000000"/>
          <w:sz w:val="20"/>
          <w:szCs w:val="20"/>
        </w:rPr>
        <w:t>m</w:t>
      </w:r>
    </w:p>
    <w:p w:rsidR="00DD7429" w:rsidRDefault="00DD7429" w:rsidP="009253FC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 w:rsidR="009253FC">
        <w:rPr>
          <w:rFonts w:ascii="Tahoma" w:hAnsi="Tahoma" w:cs="Tahoma"/>
          <w:color w:val="000000"/>
          <w:sz w:val="20"/>
          <w:szCs w:val="20"/>
        </w:rPr>
        <w:t xml:space="preserve">         w</w:t>
      </w:r>
      <w:r>
        <w:rPr>
          <w:rFonts w:ascii="Tahoma" w:hAnsi="Tahoma" w:cs="Tahoma"/>
          <w:color w:val="000000"/>
          <w:sz w:val="20"/>
          <w:szCs w:val="20"/>
        </w:rPr>
        <w:t xml:space="preserve"> tym:</w:t>
      </w:r>
    </w:p>
    <w:p w:rsidR="00DD7429" w:rsidRDefault="00DD7429" w:rsidP="009253FC">
      <w:pPr>
        <w:pStyle w:val="Akapitzlist"/>
        <w:numPr>
          <w:ilvl w:val="0"/>
          <w:numId w:val="17"/>
        </w:numPr>
        <w:ind w:left="106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Rurociąg PE De225</w:t>
      </w:r>
      <w:r w:rsidR="009253FC">
        <w:rPr>
          <w:rFonts w:ascii="Tahoma" w:hAnsi="Tahoma" w:cs="Tahoma"/>
          <w:color w:val="000000"/>
          <w:sz w:val="20"/>
          <w:szCs w:val="20"/>
        </w:rPr>
        <w:tab/>
      </w:r>
      <w:r w:rsidR="009253FC">
        <w:rPr>
          <w:rFonts w:ascii="Tahoma" w:hAnsi="Tahoma" w:cs="Tahoma"/>
          <w:color w:val="000000"/>
          <w:sz w:val="20"/>
          <w:szCs w:val="20"/>
        </w:rPr>
        <w:tab/>
      </w:r>
      <w:r w:rsidR="009253FC">
        <w:rPr>
          <w:rFonts w:ascii="Tahoma" w:hAnsi="Tahoma" w:cs="Tahoma"/>
          <w:color w:val="000000"/>
          <w:sz w:val="20"/>
          <w:szCs w:val="20"/>
        </w:rPr>
        <w:tab/>
      </w:r>
      <w:r w:rsidR="009253FC">
        <w:rPr>
          <w:rFonts w:ascii="Tahoma" w:hAnsi="Tahoma" w:cs="Tahoma"/>
          <w:color w:val="000000"/>
          <w:sz w:val="20"/>
          <w:szCs w:val="20"/>
        </w:rPr>
        <w:tab/>
      </w:r>
      <w:r w:rsidR="009253FC">
        <w:rPr>
          <w:rFonts w:ascii="Tahoma" w:hAnsi="Tahoma" w:cs="Tahoma"/>
          <w:color w:val="000000"/>
          <w:sz w:val="20"/>
          <w:szCs w:val="20"/>
        </w:rPr>
        <w:tab/>
      </w:r>
      <w:r w:rsidR="009253FC">
        <w:rPr>
          <w:rFonts w:ascii="Tahoma" w:hAnsi="Tahoma" w:cs="Tahoma"/>
          <w:color w:val="000000"/>
          <w:sz w:val="20"/>
          <w:szCs w:val="20"/>
        </w:rPr>
        <w:tab/>
      </w:r>
      <w:r w:rsidR="009253FC">
        <w:rPr>
          <w:rFonts w:ascii="Tahoma" w:hAnsi="Tahoma" w:cs="Tahoma"/>
          <w:color w:val="000000"/>
          <w:sz w:val="20"/>
          <w:szCs w:val="20"/>
        </w:rPr>
        <w:tab/>
      </w:r>
      <w:r w:rsidR="009253FC">
        <w:rPr>
          <w:rFonts w:ascii="Tahoma" w:hAnsi="Tahoma" w:cs="Tahoma"/>
          <w:color w:val="000000"/>
          <w:sz w:val="20"/>
          <w:szCs w:val="20"/>
        </w:rPr>
        <w:tab/>
        <w:t>884,5 m</w:t>
      </w:r>
    </w:p>
    <w:p w:rsidR="009253FC" w:rsidRDefault="009253FC" w:rsidP="009253FC">
      <w:pPr>
        <w:pStyle w:val="Akapitzlist"/>
        <w:ind w:left="193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tym</w:t>
      </w:r>
    </w:p>
    <w:p w:rsidR="009253FC" w:rsidRDefault="009253FC" w:rsidP="009253FC">
      <w:pPr>
        <w:pStyle w:val="Akapitzlist"/>
        <w:numPr>
          <w:ilvl w:val="1"/>
          <w:numId w:val="17"/>
        </w:numPr>
        <w:ind w:left="178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Wykop otwarty – rura HDPE100 SDR11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="00B03BDE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442,50 m</w:t>
      </w:r>
    </w:p>
    <w:p w:rsidR="009253FC" w:rsidRDefault="009253FC" w:rsidP="009253FC">
      <w:pPr>
        <w:pStyle w:val="Akapitzlist"/>
        <w:numPr>
          <w:ilvl w:val="1"/>
          <w:numId w:val="17"/>
        </w:numPr>
        <w:ind w:left="178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Przewiert w rurach osłonowych PP modułowych 315x17,9m</w:t>
      </w:r>
      <w:r w:rsidR="00B03BDE">
        <w:rPr>
          <w:rFonts w:ascii="Tahoma" w:hAnsi="Tahoma" w:cs="Tahoma"/>
          <w:color w:val="000000"/>
          <w:sz w:val="20"/>
          <w:szCs w:val="20"/>
        </w:rPr>
        <w:t>m</w:t>
      </w:r>
      <w:r w:rsidR="00B03BDE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15,8 m</w:t>
      </w:r>
    </w:p>
    <w:p w:rsidR="009253FC" w:rsidRDefault="009253FC" w:rsidP="009253FC">
      <w:pPr>
        <w:pStyle w:val="Akapitzlist"/>
        <w:numPr>
          <w:ilvl w:val="1"/>
          <w:numId w:val="17"/>
        </w:numPr>
        <w:ind w:left="178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Przewiert bez rury ochronnej rura HDPE100 RC SDR11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B03BDE">
        <w:rPr>
          <w:rFonts w:ascii="Tahoma" w:hAnsi="Tahoma" w:cs="Tahoma"/>
          <w:color w:val="000000"/>
          <w:sz w:val="18"/>
          <w:szCs w:val="18"/>
        </w:rPr>
        <w:t>356,95</w:t>
      </w:r>
      <w:r w:rsidRPr="00B03BDE">
        <w:rPr>
          <w:rFonts w:ascii="Tahoma" w:hAnsi="Tahoma" w:cs="Tahoma"/>
          <w:color w:val="000000"/>
          <w:sz w:val="16"/>
          <w:szCs w:val="16"/>
        </w:rPr>
        <w:t> m</w:t>
      </w:r>
      <w:r w:rsidR="00B03BDE" w:rsidRPr="00B03BDE">
        <w:rPr>
          <w:rFonts w:ascii="Tahoma" w:hAnsi="Tahoma" w:cs="Tahoma"/>
          <w:color w:val="000000"/>
          <w:sz w:val="16"/>
          <w:szCs w:val="16"/>
        </w:rPr>
        <w:t xml:space="preserve"> (11szt)</w:t>
      </w:r>
    </w:p>
    <w:p w:rsidR="009253FC" w:rsidRDefault="00B03BDE" w:rsidP="009253FC">
      <w:pPr>
        <w:pStyle w:val="Akapitzlist"/>
        <w:numPr>
          <w:ilvl w:val="1"/>
          <w:numId w:val="17"/>
        </w:numPr>
        <w:ind w:left="178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Przewiert w rurze ochronnej HDPE100 De335 SDR11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60,5 m</w:t>
      </w:r>
    </w:p>
    <w:p w:rsidR="00B03BDE" w:rsidRDefault="00B03BDE" w:rsidP="00B03BDE">
      <w:pPr>
        <w:pStyle w:val="Akapitzlist"/>
        <w:numPr>
          <w:ilvl w:val="1"/>
          <w:numId w:val="17"/>
        </w:numPr>
        <w:spacing w:after="120"/>
        <w:ind w:left="1786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Przewiert /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przecisk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w rurze ochronnej stalowej </w:t>
      </w:r>
      <w:r w:rsidRPr="00B03BDE">
        <w:rPr>
          <w:rFonts w:ascii="Tahoma" w:hAnsi="Tahoma" w:cs="Tahoma"/>
          <w:color w:val="000000"/>
        </w:rPr>
        <w:t>ᶲ</w:t>
      </w:r>
      <w:r>
        <w:rPr>
          <w:rFonts w:ascii="Tahoma" w:hAnsi="Tahoma" w:cs="Tahoma"/>
          <w:color w:val="000000"/>
          <w:sz w:val="20"/>
          <w:szCs w:val="20"/>
        </w:rPr>
        <w:t>323,9x5,6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8,75 m</w:t>
      </w:r>
    </w:p>
    <w:p w:rsidR="009253FC" w:rsidRDefault="009253FC" w:rsidP="009253FC">
      <w:pPr>
        <w:pStyle w:val="Akapitzlist"/>
        <w:numPr>
          <w:ilvl w:val="0"/>
          <w:numId w:val="17"/>
        </w:numPr>
        <w:ind w:left="106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Rurociąg PE De315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2,9</w:t>
      </w:r>
      <w:r w:rsidR="00B03BDE"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m</w:t>
      </w:r>
    </w:p>
    <w:p w:rsidR="009253FC" w:rsidRPr="009253FC" w:rsidRDefault="009253FC" w:rsidP="009253FC">
      <w:pPr>
        <w:ind w:left="-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D7429" w:rsidRDefault="009253FC" w:rsidP="009253FC">
      <w:pPr>
        <w:pStyle w:val="Akapitzlist"/>
        <w:numPr>
          <w:ilvl w:val="0"/>
          <w:numId w:val="15"/>
        </w:num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Kanał grawitacyjny KAM DN500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="00B03BDE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49,1</w:t>
      </w:r>
      <w:r w:rsidR="00B03BDE"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m</w:t>
      </w:r>
    </w:p>
    <w:p w:rsidR="00B03BDE" w:rsidRDefault="00B03BDE" w:rsidP="00B03BDE">
      <w:pPr>
        <w:pStyle w:val="Akapitzlist"/>
        <w:ind w:left="193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tym</w:t>
      </w:r>
    </w:p>
    <w:p w:rsidR="00B03BDE" w:rsidRDefault="00B03BDE" w:rsidP="00B03BDE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Przecisk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rurami kamionkowymi DN500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24,30 m </w:t>
      </w:r>
      <w:r w:rsidRPr="00B03BDE">
        <w:rPr>
          <w:rFonts w:ascii="Tahoma" w:hAnsi="Tahoma" w:cs="Tahoma"/>
          <w:color w:val="000000"/>
          <w:sz w:val="16"/>
          <w:szCs w:val="16"/>
        </w:rPr>
        <w:t>(3szt)</w:t>
      </w:r>
    </w:p>
    <w:p w:rsidR="00B03BDE" w:rsidRDefault="00B03BDE" w:rsidP="00B03BDE">
      <w:pPr>
        <w:pStyle w:val="Akapitzlist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9253FC" w:rsidRDefault="009253FC" w:rsidP="009253FC">
      <w:pPr>
        <w:pStyle w:val="Akapitzlist"/>
        <w:numPr>
          <w:ilvl w:val="0"/>
          <w:numId w:val="15"/>
        </w:num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Studnia dozowania PIX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Spix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="00B03BDE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1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szt</w:t>
      </w:r>
      <w:proofErr w:type="spellEnd"/>
    </w:p>
    <w:p w:rsidR="009253FC" w:rsidRDefault="009253FC" w:rsidP="009253FC">
      <w:pPr>
        <w:pStyle w:val="Akapitzlist"/>
        <w:numPr>
          <w:ilvl w:val="0"/>
          <w:numId w:val="15"/>
        </w:num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Studnie rewizyjno-spustowe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Srs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="00B03BDE">
        <w:rPr>
          <w:rFonts w:ascii="Tahoma" w:hAnsi="Tahoma" w:cs="Tahoma"/>
          <w:color w:val="000000"/>
          <w:sz w:val="20"/>
          <w:szCs w:val="20"/>
        </w:rPr>
        <w:tab/>
      </w:r>
      <w:r w:rsidR="00B03BDE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szt</w:t>
      </w:r>
      <w:proofErr w:type="spellEnd"/>
    </w:p>
    <w:p w:rsidR="00B03BDE" w:rsidRDefault="00B03BDE" w:rsidP="009253FC">
      <w:pPr>
        <w:pStyle w:val="Akapitzlist"/>
        <w:numPr>
          <w:ilvl w:val="0"/>
          <w:numId w:val="15"/>
        </w:num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Studnie rewizyjne </w:t>
      </w:r>
      <w:r w:rsidR="006F2099"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Sr</w:t>
      </w:r>
      <w:r w:rsidR="006F2099"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="006F2099">
        <w:rPr>
          <w:rFonts w:ascii="Tahoma" w:hAnsi="Tahoma" w:cs="Tahoma"/>
          <w:color w:val="000000"/>
          <w:sz w:val="20"/>
          <w:szCs w:val="20"/>
        </w:rPr>
        <w:tab/>
      </w:r>
      <w:r w:rsidR="006F2099">
        <w:rPr>
          <w:rFonts w:ascii="Tahoma" w:hAnsi="Tahoma" w:cs="Tahoma"/>
          <w:color w:val="000000"/>
          <w:sz w:val="20"/>
          <w:szCs w:val="20"/>
        </w:rPr>
        <w:tab/>
      </w:r>
      <w:r w:rsidR="006F2099">
        <w:rPr>
          <w:rFonts w:ascii="Tahoma" w:hAnsi="Tahoma" w:cs="Tahoma"/>
          <w:color w:val="000000"/>
          <w:sz w:val="20"/>
          <w:szCs w:val="20"/>
        </w:rPr>
        <w:tab/>
      </w:r>
      <w:r w:rsidR="006F2099">
        <w:rPr>
          <w:rFonts w:ascii="Tahoma" w:hAnsi="Tahoma" w:cs="Tahoma"/>
          <w:color w:val="000000"/>
          <w:sz w:val="20"/>
          <w:szCs w:val="20"/>
        </w:rPr>
        <w:tab/>
      </w:r>
      <w:r w:rsidR="006F2099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2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szt</w:t>
      </w:r>
      <w:proofErr w:type="spellEnd"/>
    </w:p>
    <w:p w:rsidR="00B03BDE" w:rsidRDefault="00B03BDE" w:rsidP="009253FC">
      <w:pPr>
        <w:pStyle w:val="Akapitzlist"/>
        <w:numPr>
          <w:ilvl w:val="0"/>
          <w:numId w:val="15"/>
        </w:num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Studnie odpowietrzająco – rewizyjne </w:t>
      </w:r>
      <w:r w:rsidR="006F2099"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Sor</w:t>
      </w:r>
      <w:proofErr w:type="spellEnd"/>
      <w:r w:rsidR="006F2099"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3 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szt</w:t>
      </w:r>
      <w:proofErr w:type="spellEnd"/>
    </w:p>
    <w:p w:rsidR="00B03BDE" w:rsidRDefault="00B03BDE" w:rsidP="009253FC">
      <w:pPr>
        <w:pStyle w:val="Akapitzlist"/>
        <w:numPr>
          <w:ilvl w:val="0"/>
          <w:numId w:val="15"/>
        </w:num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Studnia odpowietrzająca </w:t>
      </w:r>
      <w:r w:rsidR="006F2099"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So</w:t>
      </w:r>
      <w:r w:rsidR="006F2099"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1 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szt</w:t>
      </w:r>
      <w:proofErr w:type="spellEnd"/>
    </w:p>
    <w:p w:rsidR="00B03BDE" w:rsidRDefault="00B03BDE" w:rsidP="009253FC">
      <w:pPr>
        <w:pStyle w:val="Akapitzlist"/>
        <w:numPr>
          <w:ilvl w:val="0"/>
          <w:numId w:val="15"/>
        </w:num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Komora rozprężna </w:t>
      </w:r>
      <w:r w:rsidR="006F2099"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Kr</w:t>
      </w:r>
      <w:r w:rsidR="006F2099"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1 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szt</w:t>
      </w:r>
      <w:proofErr w:type="spellEnd"/>
    </w:p>
    <w:p w:rsidR="00B03BDE" w:rsidRDefault="00B03BDE" w:rsidP="009253FC">
      <w:pPr>
        <w:pStyle w:val="Akapitzlist"/>
        <w:numPr>
          <w:ilvl w:val="0"/>
          <w:numId w:val="15"/>
        </w:num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Rozbudowa przepompowni ścieków</w:t>
      </w:r>
      <w:r w:rsidR="006F209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PS-9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1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kpl</w:t>
      </w:r>
      <w:proofErr w:type="spellEnd"/>
    </w:p>
    <w:p w:rsidR="00B03BDE" w:rsidRDefault="00B03BDE" w:rsidP="009253FC">
      <w:pPr>
        <w:pStyle w:val="Akapitzlist"/>
        <w:numPr>
          <w:ilvl w:val="0"/>
          <w:numId w:val="15"/>
        </w:num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Przyłącze wodociągowe PE De110mm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44,5</w:t>
      </w:r>
      <w:r w:rsidR="006F2099"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m</w:t>
      </w:r>
    </w:p>
    <w:p w:rsidR="00B03BDE" w:rsidRDefault="00B03BDE" w:rsidP="009253FC">
      <w:pPr>
        <w:pStyle w:val="Akapitzlist"/>
        <w:numPr>
          <w:ilvl w:val="0"/>
          <w:numId w:val="15"/>
        </w:num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Budowa WLZ oraz instalacji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AKPiA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1 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kpl</w:t>
      </w:r>
      <w:proofErr w:type="spellEnd"/>
    </w:p>
    <w:p w:rsidR="00DD7429" w:rsidRDefault="00DD7429" w:rsidP="00DD7429">
      <w:pPr>
        <w:pStyle w:val="Akapitzlist"/>
        <w:ind w:left="851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B34F94" w:rsidRDefault="00B34F94">
      <w:pPr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4F94" w:rsidRPr="00F62580" w:rsidRDefault="008133CB" w:rsidP="006F209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F62580">
        <w:rPr>
          <w:rFonts w:ascii="Tahoma" w:hAnsi="Tahoma" w:cs="Tahoma"/>
          <w:color w:val="000000"/>
          <w:sz w:val="20"/>
          <w:szCs w:val="20"/>
        </w:rPr>
        <w:t>Uwaga 1.</w:t>
      </w:r>
    </w:p>
    <w:p w:rsidR="00B34F94" w:rsidRDefault="008133CB" w:rsidP="006F209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F62580">
        <w:rPr>
          <w:rFonts w:ascii="Tahoma" w:hAnsi="Tahoma" w:cs="Tahoma"/>
          <w:color w:val="000000"/>
          <w:sz w:val="20"/>
          <w:szCs w:val="20"/>
        </w:rPr>
        <w:t xml:space="preserve">Nową komorę przepompowni PS-9 </w:t>
      </w:r>
      <w:r w:rsidR="00F62580" w:rsidRPr="00F62580">
        <w:rPr>
          <w:rFonts w:ascii="Tahoma" w:hAnsi="Tahoma" w:cs="Tahoma"/>
          <w:color w:val="000000"/>
          <w:sz w:val="20"/>
          <w:szCs w:val="20"/>
        </w:rPr>
        <w:t xml:space="preserve">oraz komorę serwisową należy </w:t>
      </w:r>
      <w:r w:rsidRPr="00F62580">
        <w:rPr>
          <w:rFonts w:ascii="Tahoma" w:hAnsi="Tahoma" w:cs="Tahoma"/>
          <w:color w:val="000000"/>
          <w:sz w:val="20"/>
          <w:szCs w:val="20"/>
        </w:rPr>
        <w:t xml:space="preserve">wyposażyć w pompy </w:t>
      </w:r>
      <w:proofErr w:type="spellStart"/>
      <w:r w:rsidRPr="00F62580">
        <w:rPr>
          <w:rFonts w:ascii="Tahoma" w:hAnsi="Tahoma" w:cs="Tahoma"/>
          <w:color w:val="000000"/>
          <w:sz w:val="20"/>
          <w:szCs w:val="20"/>
        </w:rPr>
        <w:t>Flygt</w:t>
      </w:r>
      <w:proofErr w:type="spellEnd"/>
      <w:r w:rsidRPr="00F62580">
        <w:rPr>
          <w:rFonts w:ascii="Tahoma" w:hAnsi="Tahoma" w:cs="Tahoma"/>
          <w:color w:val="000000"/>
          <w:sz w:val="20"/>
          <w:szCs w:val="20"/>
        </w:rPr>
        <w:t xml:space="preserve"> 15 (</w:t>
      </w:r>
      <w:proofErr w:type="spellStart"/>
      <w:r w:rsidRPr="00F62580">
        <w:rPr>
          <w:rFonts w:ascii="Tahoma" w:hAnsi="Tahoma" w:cs="Tahoma"/>
          <w:color w:val="000000"/>
          <w:sz w:val="20"/>
          <w:szCs w:val="20"/>
        </w:rPr>
        <w:t>kW</w:t>
      </w:r>
      <w:proofErr w:type="spellEnd"/>
      <w:r w:rsidRPr="00F62580">
        <w:rPr>
          <w:rFonts w:ascii="Tahoma" w:hAnsi="Tahoma" w:cs="Tahoma"/>
          <w:color w:val="000000"/>
          <w:sz w:val="20"/>
          <w:szCs w:val="20"/>
        </w:rPr>
        <w:t xml:space="preserve">) </w:t>
      </w:r>
      <w:r w:rsidRPr="001D0218">
        <w:rPr>
          <w:rFonts w:ascii="Tahoma" w:hAnsi="Tahoma" w:cs="Tahoma"/>
          <w:color w:val="000000"/>
          <w:sz w:val="20"/>
          <w:szCs w:val="20"/>
          <w:u w:val="single"/>
        </w:rPr>
        <w:t>które zostan</w:t>
      </w:r>
      <w:r w:rsidR="00F62580" w:rsidRPr="001D0218">
        <w:rPr>
          <w:rFonts w:ascii="Tahoma" w:hAnsi="Tahoma" w:cs="Tahoma"/>
          <w:color w:val="000000"/>
          <w:sz w:val="20"/>
          <w:szCs w:val="20"/>
          <w:u w:val="single"/>
        </w:rPr>
        <w:t>ą</w:t>
      </w:r>
      <w:r w:rsidRPr="001D0218">
        <w:rPr>
          <w:rFonts w:ascii="Tahoma" w:hAnsi="Tahoma" w:cs="Tahoma"/>
          <w:color w:val="000000"/>
          <w:sz w:val="20"/>
          <w:szCs w:val="20"/>
          <w:u w:val="single"/>
        </w:rPr>
        <w:t xml:space="preserve"> przekazane przez </w:t>
      </w:r>
      <w:r w:rsidR="00F62580" w:rsidRPr="001D0218">
        <w:rPr>
          <w:rFonts w:ascii="Tahoma" w:hAnsi="Tahoma" w:cs="Tahoma"/>
          <w:color w:val="000000"/>
          <w:sz w:val="20"/>
          <w:szCs w:val="20"/>
          <w:u w:val="single"/>
        </w:rPr>
        <w:t>Zamawiającego</w:t>
      </w:r>
      <w:r w:rsidRPr="00F62580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1D0218">
        <w:rPr>
          <w:rFonts w:ascii="Tahoma" w:hAnsi="Tahoma" w:cs="Tahoma"/>
          <w:color w:val="000000"/>
          <w:sz w:val="20"/>
          <w:szCs w:val="20"/>
        </w:rPr>
        <w:t>P</w:t>
      </w:r>
      <w:r w:rsidR="001D0218" w:rsidRPr="001D0218">
        <w:rPr>
          <w:rFonts w:ascii="Tahoma" w:hAnsi="Tahoma" w:cs="Tahoma"/>
          <w:color w:val="000000"/>
          <w:sz w:val="20"/>
          <w:szCs w:val="20"/>
        </w:rPr>
        <w:t>rzygotowanie stanowisk pompowych (2 szt. przepompownia główna + 1 szt. przepompownia serwisowa) wyposaż</w:t>
      </w:r>
      <w:r w:rsidR="001D0218">
        <w:rPr>
          <w:rFonts w:ascii="Tahoma" w:hAnsi="Tahoma" w:cs="Tahoma"/>
          <w:color w:val="000000"/>
          <w:sz w:val="20"/>
          <w:szCs w:val="20"/>
        </w:rPr>
        <w:t>enie</w:t>
      </w:r>
      <w:r w:rsidR="001D0218" w:rsidRPr="001D0218">
        <w:rPr>
          <w:rFonts w:ascii="Tahoma" w:hAnsi="Tahoma" w:cs="Tahoma"/>
          <w:color w:val="000000"/>
          <w:sz w:val="20"/>
          <w:szCs w:val="20"/>
        </w:rPr>
        <w:t xml:space="preserve"> w dedykowane stopy sprzęgające i prowadnice</w:t>
      </w:r>
      <w:r w:rsidR="001D0218">
        <w:rPr>
          <w:rFonts w:ascii="Tahoma" w:hAnsi="Tahoma" w:cs="Tahoma"/>
          <w:color w:val="000000"/>
          <w:sz w:val="20"/>
          <w:szCs w:val="20"/>
        </w:rPr>
        <w:t xml:space="preserve"> oraz m</w:t>
      </w:r>
      <w:r w:rsidRPr="00F62580">
        <w:rPr>
          <w:rFonts w:ascii="Tahoma" w:hAnsi="Tahoma" w:cs="Tahoma"/>
          <w:color w:val="000000"/>
          <w:sz w:val="20"/>
          <w:szCs w:val="20"/>
        </w:rPr>
        <w:t>ontaż pomp w zakresie Wykonawcy.</w:t>
      </w:r>
    </w:p>
    <w:p w:rsidR="00B34F94" w:rsidRDefault="00B34F94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34F94" w:rsidRDefault="008133CB" w:rsidP="006F2099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Uwaga 2.</w:t>
      </w:r>
    </w:p>
    <w:p w:rsidR="00B34F94" w:rsidRDefault="008133CB" w:rsidP="006F2099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Zamawiający dopuszcza wykonanie kanalizacji sanitarnej w technologii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bezwykopowej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w miejsce zaprojektowanej technologii wykopu otwartego. W takim przypadku parametry rur muszą odpowiadać technologii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bezwykopowej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B34F94" w:rsidRDefault="00B34F94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34F94" w:rsidRDefault="008133CB" w:rsidP="006F2099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Uwaga 3. </w:t>
      </w:r>
    </w:p>
    <w:p w:rsidR="00B34F94" w:rsidRDefault="008133CB" w:rsidP="006F209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F62580">
        <w:rPr>
          <w:rFonts w:ascii="Tahoma" w:hAnsi="Tahoma" w:cs="Tahoma"/>
          <w:color w:val="000000"/>
          <w:sz w:val="20"/>
          <w:szCs w:val="20"/>
        </w:rPr>
        <w:t>Zamawiający wy</w:t>
      </w:r>
      <w:r w:rsidR="00F62580" w:rsidRPr="00F62580">
        <w:rPr>
          <w:rFonts w:ascii="Tahoma" w:hAnsi="Tahoma" w:cs="Tahoma"/>
          <w:color w:val="000000"/>
          <w:sz w:val="20"/>
          <w:szCs w:val="20"/>
        </w:rPr>
        <w:t xml:space="preserve">maga, aby Wykonawca przystąpił </w:t>
      </w:r>
      <w:r w:rsidRPr="00F62580">
        <w:rPr>
          <w:rFonts w:ascii="Tahoma" w:hAnsi="Tahoma" w:cs="Tahoma"/>
          <w:color w:val="000000"/>
          <w:sz w:val="20"/>
          <w:szCs w:val="20"/>
        </w:rPr>
        <w:t>w pierwszej kolejności do realizacj</w:t>
      </w:r>
      <w:r w:rsidR="00F62580" w:rsidRPr="00F62580">
        <w:rPr>
          <w:rFonts w:ascii="Tahoma" w:hAnsi="Tahoma" w:cs="Tahoma"/>
          <w:color w:val="000000"/>
          <w:sz w:val="20"/>
          <w:szCs w:val="20"/>
        </w:rPr>
        <w:t>i sieci kanalizacji sanitarnej</w:t>
      </w:r>
      <w:r w:rsidRPr="00F62580">
        <w:rPr>
          <w:rFonts w:ascii="Tahoma" w:hAnsi="Tahoma" w:cs="Tahoma"/>
          <w:color w:val="000000"/>
          <w:sz w:val="20"/>
          <w:szCs w:val="20"/>
        </w:rPr>
        <w:t>.</w:t>
      </w:r>
    </w:p>
    <w:p w:rsidR="006F2099" w:rsidRDefault="006F2099" w:rsidP="006F209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6F2099" w:rsidRPr="001018C1" w:rsidRDefault="006F2099" w:rsidP="006F209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1018C1">
        <w:rPr>
          <w:rFonts w:ascii="Tahoma" w:hAnsi="Tahoma" w:cs="Tahoma"/>
          <w:color w:val="000000"/>
          <w:sz w:val="20"/>
          <w:szCs w:val="20"/>
        </w:rPr>
        <w:t>Uwaga 4.</w:t>
      </w:r>
    </w:p>
    <w:p w:rsidR="004F18C1" w:rsidRPr="001018C1" w:rsidRDefault="004F18C1" w:rsidP="006F209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1018C1">
        <w:rPr>
          <w:rFonts w:ascii="Tahoma" w:hAnsi="Tahoma" w:cs="Tahoma"/>
          <w:color w:val="000000"/>
          <w:sz w:val="20"/>
          <w:szCs w:val="20"/>
        </w:rPr>
        <w:t>Zamawiający zobowiązuje Wykonawcę do wykonania i zafakturowania w roku 2024 robót budowlanych w zakresie minimum 400 m kanalizacji sanitarnej.</w:t>
      </w:r>
    </w:p>
    <w:p w:rsidR="00B34F94" w:rsidRDefault="00B34F94">
      <w:pPr>
        <w:pStyle w:val="Akapitzlist"/>
        <w:ind w:left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4F94" w:rsidRDefault="008133CB">
      <w:pPr>
        <w:pStyle w:val="Akapitzlist"/>
        <w:numPr>
          <w:ilvl w:val="1"/>
          <w:numId w:val="1"/>
        </w:numPr>
        <w:ind w:left="851" w:hanging="49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lastRenderedPageBreak/>
        <w:t>Szczegółowy opis przedmiotu zamówienia stanowi dokumentacja techniczna pn ”</w:t>
      </w:r>
      <w:r>
        <w:rPr>
          <w:rFonts w:ascii="Tahoma" w:hAnsi="Tahoma" w:cs="Tahoma"/>
          <w:b/>
          <w:bCs/>
          <w:iCs/>
          <w:sz w:val="20"/>
          <w:szCs w:val="20"/>
        </w:rPr>
        <w:t>Budowa przewodu tłocznego kanalizacji sanitarnej wraz z rozbudową przepompowni ścieków PS-9 przy ul. Działowej w Toruniu</w:t>
      </w:r>
      <w:r>
        <w:rPr>
          <w:rFonts w:ascii="Tahoma" w:hAnsi="Tahoma" w:cs="Tahoma"/>
          <w:bCs/>
          <w:color w:val="000000"/>
          <w:sz w:val="20"/>
          <w:szCs w:val="20"/>
        </w:rPr>
        <w:t>” oraz</w:t>
      </w:r>
      <w:r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r w:rsidR="00F62580">
        <w:rPr>
          <w:rFonts w:ascii="Tahoma" w:hAnsi="Tahoma" w:cs="Tahoma"/>
          <w:b/>
          <w:bCs/>
          <w:iCs/>
          <w:sz w:val="20"/>
          <w:szCs w:val="20"/>
        </w:rPr>
        <w:t>„</w:t>
      </w:r>
      <w:r>
        <w:rPr>
          <w:rFonts w:ascii="Tahoma" w:hAnsi="Tahoma" w:cs="Tahoma"/>
          <w:b/>
          <w:bCs/>
          <w:iCs/>
          <w:sz w:val="20"/>
          <w:szCs w:val="20"/>
        </w:rPr>
        <w:t>Budowa kanalizacji sanitarnej grawitacyjnej DN500 w pasie drogowym drogi krajowej nr 15</w:t>
      </w:r>
      <w:r w:rsidR="00F62580">
        <w:rPr>
          <w:rFonts w:ascii="Tahoma" w:hAnsi="Tahoma" w:cs="Tahoma"/>
          <w:b/>
          <w:bCs/>
          <w:iCs/>
          <w:sz w:val="20"/>
          <w:szCs w:val="20"/>
        </w:rPr>
        <w:t>”</w:t>
      </w:r>
      <w:r w:rsidR="00F62580">
        <w:rPr>
          <w:rFonts w:ascii="Tahoma" w:hAnsi="Tahoma" w:cs="Tahoma"/>
          <w:bCs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bCs/>
          <w:color w:val="000000"/>
          <w:sz w:val="20"/>
          <w:szCs w:val="20"/>
        </w:rPr>
        <w:t>opracowana przez Wielobranżowe Przedsiębiorstwo Usługowo-Produkcyjne MELBUD S.C</w:t>
      </w:r>
      <w:r>
        <w:rPr>
          <w:rFonts w:ascii="Tahoma" w:hAnsi="Tahoma" w:cs="Tahoma"/>
          <w:sz w:val="20"/>
          <w:szCs w:val="20"/>
        </w:rPr>
        <w:t xml:space="preserve"> z Torunia</w:t>
      </w:r>
      <w:r>
        <w:rPr>
          <w:rFonts w:ascii="Tahoma" w:hAnsi="Tahoma" w:cs="Tahoma"/>
          <w:bCs/>
          <w:color w:val="000000"/>
          <w:sz w:val="20"/>
          <w:szCs w:val="20"/>
        </w:rPr>
        <w:t>, wraz ze Specyfikacją techniczną wykonania i odbioru robót.</w:t>
      </w:r>
    </w:p>
    <w:p w:rsidR="00B34F94" w:rsidRDefault="008133CB">
      <w:pPr>
        <w:pStyle w:val="Akapitzlist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Przedmiotem zamówienia jest wykonanie całości zakresu przedstawionej w dokumentacji projektowej.</w:t>
      </w:r>
    </w:p>
    <w:p w:rsidR="00B34F94" w:rsidRDefault="00B34F94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4F94" w:rsidRDefault="008133CB">
      <w:pPr>
        <w:numPr>
          <w:ilvl w:val="0"/>
          <w:numId w:val="1"/>
        </w:numPr>
        <w:ind w:left="426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Materiały</w:t>
      </w:r>
    </w:p>
    <w:p w:rsidR="00B34F94" w:rsidRDefault="008133C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Materiały stosować zgodnie z projektem budowlanym z uwzględnieniem „Podstawowych wymagań technicznych rur, kształtek i obiektów stawianych nowoprojektowanym układom kanalizacji sanitarnej”, „Podstawowych wymagań technicznych rur, kształtek i armatury wodociągowej stawianych nowoprojektowanym układom wodociągowym” oraz „Wytycznych technicznych do projektowania i realizacji sieci, przyłączy oraz urządzeń wodociągowych i kanalizacyjnych” obowiązujących w Toruńskich Wodociągach Sp. z o.o., a które są dostępne na stronie www.wodociagi.torun.com.pl w zakładce </w:t>
      </w:r>
      <w:r>
        <w:rPr>
          <w:rFonts w:ascii="Tahoma" w:hAnsi="Tahoma" w:cs="Tahoma"/>
          <w:sz w:val="20"/>
        </w:rPr>
        <w:t>„Strefa klienta – Jak załatwić sprawę – Załatwianie spraw – Wytyczne techniczne”</w:t>
      </w:r>
      <w:r>
        <w:rPr>
          <w:rFonts w:ascii="Tahoma" w:hAnsi="Tahoma" w:cs="Tahoma"/>
          <w:sz w:val="20"/>
          <w:szCs w:val="20"/>
        </w:rPr>
        <w:t>.</w:t>
      </w:r>
    </w:p>
    <w:p w:rsidR="00B34F94" w:rsidRDefault="00B34F94">
      <w:pPr>
        <w:pStyle w:val="Opis"/>
        <w:spacing w:line="240" w:lineRule="auto"/>
        <w:rPr>
          <w:rFonts w:cs="Tahoma"/>
        </w:rPr>
      </w:pPr>
    </w:p>
    <w:p w:rsidR="00B34F94" w:rsidRDefault="008133CB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Obowiązki Wykonawcy</w:t>
      </w:r>
    </w:p>
    <w:p w:rsidR="00B34F94" w:rsidRDefault="00B34F94">
      <w:pPr>
        <w:rPr>
          <w:rFonts w:ascii="Tahoma" w:hAnsi="Tahoma" w:cs="Tahoma"/>
          <w:b/>
          <w:sz w:val="20"/>
          <w:szCs w:val="20"/>
        </w:rPr>
      </w:pPr>
    </w:p>
    <w:p w:rsidR="003C386F" w:rsidRDefault="003C386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Zachowanie ciągłości przepompowywania ścieków napływających do przepompowni PS-9 przez cały okres budowy.</w:t>
      </w:r>
    </w:p>
    <w:p w:rsidR="003C386F" w:rsidRDefault="003C386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Uzgodnienie z Zamawiającym przełączania układów pompowania: pompownia tymczasowa / pompownia główna / pompownia serwisowa.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W ramach organizacji placu budowy realizacja własnym kosztem i staraniem obiektów tymczasowego zaplecza budowy oraz poniesienie kosztów zużycia wody i energii w okresie realizacji robót</w:t>
      </w:r>
      <w:r>
        <w:rPr>
          <w:rFonts w:ascii="Tahoma" w:hAnsi="Tahoma" w:cs="Tahoma"/>
          <w:sz w:val="20"/>
          <w:szCs w:val="20"/>
        </w:rPr>
        <w:t xml:space="preserve"> oraz pozyskanie decyzji na zajęcie pasa drogowego na czas prowadzenia robót i dokonanie stosownych opłat.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Dysponowanie dla potrzeb realizacji niniejszego zadania osobami: kierownika budowy posiadającego uprawnienia budowlane do kierowania robotami budowlanymi o specjalności instalacyjnej w zakresie sieci </w:t>
      </w:r>
      <w:proofErr w:type="spellStart"/>
      <w:r>
        <w:rPr>
          <w:rFonts w:ascii="Tahoma" w:hAnsi="Tahoma" w:cs="Tahoma"/>
          <w:bCs/>
          <w:iCs/>
          <w:sz w:val="20"/>
          <w:szCs w:val="20"/>
        </w:rPr>
        <w:t>wod-kan</w:t>
      </w:r>
      <w:proofErr w:type="spellEnd"/>
      <w:r>
        <w:rPr>
          <w:rFonts w:ascii="Tahoma" w:hAnsi="Tahoma" w:cs="Tahoma"/>
          <w:bCs/>
          <w:iCs/>
          <w:sz w:val="20"/>
          <w:szCs w:val="20"/>
        </w:rPr>
        <w:t xml:space="preserve"> oraz kierownika robót w specjalności instalacyjnej elektroenergetycznej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robót ziemnych wraz umocnieniem wykopów, odwiezieniem urobku na czasowe składowisko</w:t>
      </w:r>
      <w:r>
        <w:rPr>
          <w:rFonts w:ascii="Tahoma" w:hAnsi="Tahoma" w:cs="Tahoma"/>
          <w:bCs/>
          <w:iCs/>
          <w:sz w:val="20"/>
          <w:szCs w:val="20"/>
        </w:rPr>
        <w:t xml:space="preserve"> lub składowania w sąsiedztwie inwestycji, jeżeli będzie taka możliwość.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Wykonanie robót drogowych – z odtworzeniem nawierzchni do stanu pierwotnego stosownie do występującej nawierzchni w tym </w:t>
      </w:r>
      <w:r>
        <w:rPr>
          <w:rFonts w:ascii="Tahoma" w:hAnsi="Tahoma" w:cs="Tahoma"/>
          <w:sz w:val="20"/>
          <w:szCs w:val="20"/>
          <w:u w:val="single"/>
        </w:rPr>
        <w:t>także z odpowiednim utwardzeniem dróg o nawierzchni gruntowej</w:t>
      </w:r>
      <w:r w:rsidRPr="001D02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stanu nie gorszego niż przed robotami (zgodnie z uzgodnieniami dokonanymi z właścicielami terenu). Odtworzenie terenu do jego pierwotnego stanu i uzyskanie pisemnego potwierdzenia tego faktu od właściciela stanowi bezwzględny obowiązek wykonawcy.</w:t>
      </w:r>
    </w:p>
    <w:p w:rsidR="00B34F94" w:rsidRDefault="008133CB">
      <w:p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Wykonanie nawierzchni drogowej </w:t>
      </w:r>
      <w:r>
        <w:rPr>
          <w:rFonts w:ascii="Tahoma" w:hAnsi="Tahoma" w:cs="Tahoma"/>
          <w:sz w:val="20"/>
          <w:szCs w:val="20"/>
          <w:u w:val="single"/>
        </w:rPr>
        <w:t>na terenie tłoczni</w:t>
      </w:r>
      <w:r>
        <w:rPr>
          <w:rFonts w:ascii="Tahoma" w:hAnsi="Tahoma" w:cs="Tahoma"/>
          <w:sz w:val="20"/>
          <w:szCs w:val="20"/>
        </w:rPr>
        <w:t xml:space="preserve"> zgodnie z projektem.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organizacji ruchu i zabezpieczenie robót w czasie realizacji zadania.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Rozbiórka umocnienia, zasypanie wykopu z zagęszczeniem gruntu na całej głębokości wykopu. Po zakończeniu budowy Wykonawca przedstawi MZD do akceptacji protokoły zagęszczenia gruntu zgodnie z ich wymogami.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Przestrzeganie uzgodnień z gestorami sieci, właścicielami posesji dla których realizowane są zadania oraz z Miejskim Zarządem Dróg.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zabezpieczenia urządzeń podziemnych krzyżujących się z trasą realizowanych sieci.</w:t>
      </w:r>
    </w:p>
    <w:p w:rsidR="00B34F94" w:rsidRPr="00F6258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robót odwodnieniowych. Zwraca się uwagę,</w:t>
      </w:r>
      <w:r w:rsidR="0019358D">
        <w:rPr>
          <w:rFonts w:ascii="Tahoma" w:hAnsi="Tahoma" w:cs="Tahoma"/>
          <w:sz w:val="20"/>
          <w:szCs w:val="20"/>
        </w:rPr>
        <w:t xml:space="preserve"> że teren budowy znajduje się w </w:t>
      </w:r>
      <w:r>
        <w:rPr>
          <w:rFonts w:ascii="Tahoma" w:hAnsi="Tahoma" w:cs="Tahoma"/>
          <w:sz w:val="20"/>
          <w:szCs w:val="20"/>
        </w:rPr>
        <w:t>bezpośrednim sąsiedztwie Strugi Toruńskiej i wykopy wymagać będą z</w:t>
      </w:r>
      <w:r w:rsidR="0019358D">
        <w:rPr>
          <w:rFonts w:ascii="Tahoma" w:hAnsi="Tahoma" w:cs="Tahoma"/>
          <w:sz w:val="20"/>
          <w:szCs w:val="20"/>
        </w:rPr>
        <w:t>astosowania specjalistycznego i profesjonalnego zestawu do odwodnień</w:t>
      </w:r>
      <w:r w:rsidRPr="00F62580">
        <w:rPr>
          <w:rFonts w:ascii="Tahoma" w:hAnsi="Tahoma" w:cs="Tahoma"/>
          <w:sz w:val="20"/>
          <w:szCs w:val="20"/>
        </w:rPr>
        <w:t xml:space="preserve">. </w:t>
      </w:r>
    </w:p>
    <w:p w:rsidR="00B34F94" w:rsidRPr="00F6258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62580">
        <w:rPr>
          <w:rFonts w:ascii="Tahoma" w:hAnsi="Tahoma" w:cs="Tahoma"/>
          <w:sz w:val="20"/>
          <w:szCs w:val="20"/>
        </w:rPr>
        <w:t>Oznakowanie armatury wodociągowej i kanalizacyjnej. oznakowanie armatury wodociągowej - tabliczki informacyjne zasuw i hydrantów mają być zgodne z norą PN-86/B 09700;</w:t>
      </w:r>
    </w:p>
    <w:p w:rsidR="00B34F94" w:rsidRPr="00F6258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62580">
        <w:rPr>
          <w:rFonts w:ascii="Tahoma" w:hAnsi="Tahoma" w:cs="Tahoma"/>
          <w:sz w:val="20"/>
          <w:szCs w:val="20"/>
        </w:rPr>
        <w:lastRenderedPageBreak/>
        <w:t>dostarczenie protokołu badania wydajności hydrantu sporządzonego przez uprawnioną Firmę</w:t>
      </w:r>
    </w:p>
    <w:p w:rsidR="00B34F94" w:rsidRPr="00F6258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62580">
        <w:rPr>
          <w:rFonts w:ascii="Tahoma" w:hAnsi="Tahoma" w:cs="Tahoma"/>
          <w:sz w:val="20"/>
          <w:szCs w:val="20"/>
        </w:rPr>
        <w:t xml:space="preserve">wykonanie prób ciśnieniowych na ciśnienie 1,0 </w:t>
      </w:r>
      <w:proofErr w:type="spellStart"/>
      <w:r w:rsidRPr="00F62580">
        <w:rPr>
          <w:rFonts w:ascii="Tahoma" w:hAnsi="Tahoma" w:cs="Tahoma"/>
          <w:sz w:val="20"/>
          <w:szCs w:val="20"/>
        </w:rPr>
        <w:t>MPa</w:t>
      </w:r>
      <w:proofErr w:type="spellEnd"/>
      <w:r w:rsidRPr="00F62580">
        <w:rPr>
          <w:rFonts w:ascii="Tahoma" w:hAnsi="Tahoma" w:cs="Tahoma"/>
          <w:sz w:val="20"/>
          <w:szCs w:val="20"/>
        </w:rPr>
        <w:t xml:space="preserve"> na wodociągu</w:t>
      </w:r>
    </w:p>
    <w:p w:rsidR="00B34F94" w:rsidRPr="000B562F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Wykonanie prób szczelności zrealizowanych </w:t>
      </w:r>
      <w:r w:rsidRPr="000B562F">
        <w:rPr>
          <w:rFonts w:ascii="Tahoma" w:hAnsi="Tahoma" w:cs="Tahoma"/>
          <w:sz w:val="20"/>
          <w:szCs w:val="20"/>
        </w:rPr>
        <w:t>odcinków kanału</w:t>
      </w:r>
    </w:p>
    <w:p w:rsidR="00722C94" w:rsidRPr="000B562F" w:rsidRDefault="008133CB" w:rsidP="00722C9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562F">
        <w:rPr>
          <w:rFonts w:ascii="Tahoma" w:hAnsi="Tahoma" w:cs="Tahoma"/>
          <w:sz w:val="20"/>
          <w:szCs w:val="20"/>
        </w:rPr>
        <w:t>Wykonanie inspekcji telewizyjnej wykonanych odcinków kanału, rejestracja obrazu w kolorze kamerą z funkcją rejestracji spadku</w:t>
      </w:r>
      <w:r w:rsidR="00722C94" w:rsidRPr="000B562F">
        <w:rPr>
          <w:rFonts w:ascii="Tahoma" w:hAnsi="Tahoma" w:cs="Tahoma"/>
          <w:sz w:val="20"/>
          <w:szCs w:val="20"/>
        </w:rPr>
        <w:t xml:space="preserve">. Wykonanie powykonawczej inspekcji CCTV kanałów </w:t>
      </w:r>
      <w:r w:rsidR="000B562F" w:rsidRPr="000B562F">
        <w:rPr>
          <w:rFonts w:ascii="Tahoma" w:hAnsi="Tahoma" w:cs="Tahoma"/>
          <w:sz w:val="20"/>
          <w:szCs w:val="20"/>
        </w:rPr>
        <w:t>należy zlecić</w:t>
      </w:r>
      <w:r w:rsidR="00722C94" w:rsidRPr="000B562F">
        <w:rPr>
          <w:rFonts w:ascii="Tahoma" w:hAnsi="Tahoma" w:cs="Tahoma"/>
          <w:sz w:val="20"/>
          <w:szCs w:val="20"/>
        </w:rPr>
        <w:t xml:space="preserve"> naszej Spółce.</w:t>
      </w:r>
    </w:p>
    <w:p w:rsidR="00722C94" w:rsidRPr="000B562F" w:rsidRDefault="00722C94" w:rsidP="00722C9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562F">
        <w:rPr>
          <w:rFonts w:ascii="Tahoma" w:hAnsi="Tahoma" w:cs="Tahoma"/>
          <w:sz w:val="20"/>
          <w:szCs w:val="20"/>
        </w:rPr>
        <w:t xml:space="preserve">W przypadku przewodów tłocznych wykonywanych w technologii </w:t>
      </w:r>
      <w:proofErr w:type="spellStart"/>
      <w:r w:rsidRPr="000B562F">
        <w:rPr>
          <w:rFonts w:ascii="Tahoma" w:hAnsi="Tahoma" w:cs="Tahoma"/>
          <w:sz w:val="20"/>
          <w:szCs w:val="20"/>
        </w:rPr>
        <w:t>bezwykopowej</w:t>
      </w:r>
      <w:proofErr w:type="spellEnd"/>
      <w:r w:rsidRPr="000B562F">
        <w:rPr>
          <w:rFonts w:ascii="Tahoma" w:hAnsi="Tahoma" w:cs="Tahoma"/>
          <w:sz w:val="20"/>
          <w:szCs w:val="20"/>
        </w:rPr>
        <w:t>, o ile nie będzie istniała możliwość przejazdu całego wykonanego odcinka kamerą CCTV (przy średnicy 225 mm odcinki dłuższe niż 150 - 200 m), Wykonawca dokona pomiarów co 50m rzędnej stropu kanału (góry rury), aby wykluczyć możliwość</w:t>
      </w:r>
      <w:r w:rsidR="001D0218">
        <w:rPr>
          <w:rFonts w:ascii="Tahoma" w:hAnsi="Tahoma" w:cs="Tahoma"/>
          <w:sz w:val="20"/>
          <w:szCs w:val="20"/>
        </w:rPr>
        <w:t xml:space="preserve"> ułożenia przewodu </w:t>
      </w:r>
      <w:r w:rsidRPr="000B562F">
        <w:rPr>
          <w:rFonts w:ascii="Tahoma" w:hAnsi="Tahoma" w:cs="Tahoma"/>
          <w:sz w:val="20"/>
          <w:szCs w:val="20"/>
        </w:rPr>
        <w:t>z </w:t>
      </w:r>
      <w:proofErr w:type="spellStart"/>
      <w:r w:rsidRPr="000B562F">
        <w:rPr>
          <w:rFonts w:ascii="Tahoma" w:hAnsi="Tahoma" w:cs="Tahoma"/>
          <w:sz w:val="20"/>
          <w:szCs w:val="20"/>
        </w:rPr>
        <w:t>przeciwspadkami</w:t>
      </w:r>
      <w:proofErr w:type="spellEnd"/>
      <w:r w:rsidRPr="000B562F">
        <w:rPr>
          <w:rFonts w:ascii="Tahoma" w:hAnsi="Tahoma" w:cs="Tahoma"/>
          <w:sz w:val="20"/>
          <w:szCs w:val="20"/>
        </w:rPr>
        <w:t>, załamaniami czy wypłaceniami.</w:t>
      </w:r>
    </w:p>
    <w:p w:rsidR="00B34F94" w:rsidRPr="00F6258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62580">
        <w:rPr>
          <w:rFonts w:ascii="Tahoma" w:hAnsi="Tahoma" w:cs="Tahoma"/>
          <w:sz w:val="20"/>
          <w:szCs w:val="20"/>
        </w:rPr>
        <w:t xml:space="preserve">dezynfekcja i płukanie wodociągu oraz uzyskanie pozytywnego wyniku badania wody wykonanego przez laboratorium posiadające akredytację, (badania wody w zakresie następujących parametrów: mętność, barwa, zapach na zimno, jon amonowy, żelazo, mangan, przewodność elektryczna właściwa, twardość ogólna, glin, smak, </w:t>
      </w:r>
      <w:proofErr w:type="spellStart"/>
      <w:r w:rsidRPr="00F62580">
        <w:rPr>
          <w:rFonts w:ascii="Tahoma" w:hAnsi="Tahoma" w:cs="Tahoma"/>
          <w:sz w:val="20"/>
          <w:szCs w:val="20"/>
        </w:rPr>
        <w:t>pH</w:t>
      </w:r>
      <w:proofErr w:type="spellEnd"/>
      <w:r w:rsidRPr="00F62580">
        <w:rPr>
          <w:rFonts w:ascii="Tahoma" w:hAnsi="Tahoma" w:cs="Tahoma"/>
          <w:sz w:val="20"/>
          <w:szCs w:val="20"/>
        </w:rPr>
        <w:t xml:space="preserve">, obecność bakterii </w:t>
      </w:r>
      <w:proofErr w:type="spellStart"/>
      <w:r w:rsidRPr="00F62580">
        <w:rPr>
          <w:rFonts w:ascii="Tahoma" w:hAnsi="Tahoma" w:cs="Tahoma"/>
          <w:sz w:val="20"/>
          <w:szCs w:val="20"/>
        </w:rPr>
        <w:t>Escherichia</w:t>
      </w:r>
      <w:proofErr w:type="spellEnd"/>
      <w:r w:rsidRPr="00F62580">
        <w:rPr>
          <w:rFonts w:ascii="Tahoma" w:hAnsi="Tahoma" w:cs="Tahoma"/>
          <w:sz w:val="20"/>
          <w:szCs w:val="20"/>
        </w:rPr>
        <w:t xml:space="preserve"> coli, obecność </w:t>
      </w:r>
      <w:proofErr w:type="spellStart"/>
      <w:r w:rsidRPr="00F62580">
        <w:rPr>
          <w:rFonts w:ascii="Tahoma" w:hAnsi="Tahoma" w:cs="Tahoma"/>
          <w:sz w:val="20"/>
          <w:szCs w:val="20"/>
        </w:rPr>
        <w:t>enterokoków</w:t>
      </w:r>
      <w:proofErr w:type="spellEnd"/>
      <w:r w:rsidRPr="00F62580">
        <w:rPr>
          <w:rFonts w:ascii="Tahoma" w:hAnsi="Tahoma" w:cs="Tahoma"/>
          <w:sz w:val="20"/>
          <w:szCs w:val="20"/>
        </w:rPr>
        <w:t xml:space="preserve">, obecność bakterii grupy coli, ogólna liczba mikroorganizmów w temperaturze  22 </w:t>
      </w:r>
      <w:proofErr w:type="spellStart"/>
      <w:r w:rsidRPr="00F62580">
        <w:rPr>
          <w:rFonts w:ascii="Tahoma" w:hAnsi="Tahoma" w:cs="Tahoma"/>
          <w:sz w:val="20"/>
          <w:szCs w:val="20"/>
        </w:rPr>
        <w:t>oC</w:t>
      </w:r>
      <w:proofErr w:type="spellEnd"/>
      <w:r w:rsidRPr="00F62580">
        <w:rPr>
          <w:rFonts w:ascii="Tahoma" w:hAnsi="Tahoma" w:cs="Tahoma"/>
          <w:sz w:val="20"/>
          <w:szCs w:val="20"/>
        </w:rPr>
        <w:t xml:space="preserve"> (dopuszczalna wartość 100 </w:t>
      </w:r>
      <w:proofErr w:type="spellStart"/>
      <w:r w:rsidRPr="00F62580">
        <w:rPr>
          <w:rFonts w:ascii="Tahoma" w:hAnsi="Tahoma" w:cs="Tahoma"/>
          <w:sz w:val="20"/>
          <w:szCs w:val="20"/>
        </w:rPr>
        <w:t>j.t.k</w:t>
      </w:r>
      <w:proofErr w:type="spellEnd"/>
      <w:r w:rsidRPr="00F62580">
        <w:rPr>
          <w:rFonts w:ascii="Tahoma" w:hAnsi="Tahoma" w:cs="Tahoma"/>
          <w:sz w:val="20"/>
          <w:szCs w:val="20"/>
        </w:rPr>
        <w:t xml:space="preserve">.), Clostridium </w:t>
      </w:r>
      <w:proofErr w:type="spellStart"/>
      <w:r w:rsidRPr="00F62580">
        <w:rPr>
          <w:rFonts w:ascii="Tahoma" w:hAnsi="Tahoma" w:cs="Tahoma"/>
          <w:sz w:val="20"/>
          <w:szCs w:val="20"/>
        </w:rPr>
        <w:t>perfringens</w:t>
      </w:r>
      <w:proofErr w:type="spellEnd"/>
      <w:r w:rsidRPr="00F62580">
        <w:rPr>
          <w:rFonts w:ascii="Tahoma" w:hAnsi="Tahoma" w:cs="Tahoma"/>
          <w:sz w:val="20"/>
          <w:szCs w:val="20"/>
        </w:rPr>
        <w:t xml:space="preserve"> łącznie ze sporami i chlor ogólny</w:t>
      </w:r>
    </w:p>
    <w:p w:rsidR="00B34F94" w:rsidRPr="00F6258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62580">
        <w:rPr>
          <w:rFonts w:ascii="Tahoma" w:hAnsi="Tahoma" w:cs="Tahoma"/>
          <w:sz w:val="20"/>
          <w:szCs w:val="20"/>
        </w:rPr>
        <w:t>wykonanie włączenia</w:t>
      </w:r>
      <w:r w:rsidRPr="00F62580">
        <w:rPr>
          <w:rFonts w:ascii="Tahoma" w:eastAsia="Calibri" w:hAnsi="Tahoma" w:cs="Tahoma"/>
          <w:sz w:val="20"/>
          <w:szCs w:val="20"/>
          <w:lang w:eastAsia="en-US"/>
        </w:rPr>
        <w:t xml:space="preserve"> w istniejącą sieć wodociągową należy zlecić służbom Zamawiającego</w:t>
      </w:r>
    </w:p>
    <w:p w:rsidR="00B34F94" w:rsidRDefault="008133CB">
      <w:pPr>
        <w:pStyle w:val="Akapitzlist"/>
        <w:numPr>
          <w:ilvl w:val="1"/>
          <w:numId w:val="1"/>
        </w:numPr>
        <w:suppressAutoHyphens w:val="0"/>
        <w:contextualSpacing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Przeprowadzenie rozruchu przepompowni ścieków w obecności komisji powołanej przez Zamawiającego. Rozruch pompowni będzie poprzedzony złożeniem do akceptacji Zam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wiającego planu rozruchu. Z rozruchu należy spisać protokół, potwierdzający osiągnięcie parametrów przepompowni</w:t>
      </w:r>
      <w:r>
        <w:rPr>
          <w:rFonts w:ascii="Tahoma" w:hAnsi="Tahoma" w:cs="Tahoma"/>
          <w:bCs/>
          <w:iCs/>
          <w:sz w:val="20"/>
          <w:szCs w:val="20"/>
        </w:rPr>
        <w:t>, zakładanych w dokumentacji technicznej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Przygotowanie instrukcji użytkowania przepompowni ścieków wraz ze schematami technologicznymi instalacji wewnętrznej obiektu.</w:t>
      </w:r>
      <w:r w:rsidR="00BE506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Wymagane jest stosowne oznakowanie obiektu odpowiadające instrukcji obsługi,</w:t>
      </w:r>
      <w:r w:rsidR="00BE506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 schematowi technologicznemu.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Oznakowanie urządzeń na sieci i na terenie obiektów zgodnie z wymogami użytkownika oraz przepisami BHP. Skompletowanie dokumentów zgodnie z przepisami BHP. Przygotowanie instrukcji BHP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</w:rPr>
        <w:t xml:space="preserve">Zabezpieczenie drzew na terenie prowadzenia robót opisane w dokumencie „Ochrona drzew w procesie inwestycyjnym, zamieszczonym na stronie internetowej Spółki w zakładce „Strefa klienta – Jak załatwić sprawę – Wytyczne techniczne). Zabezpieczenie należy wykonać </w:t>
      </w:r>
      <w:r>
        <w:rPr>
          <w:rFonts w:ascii="Tahoma" w:hAnsi="Tahoma" w:cs="Tahoma"/>
          <w:color w:val="000000"/>
          <w:sz w:val="20"/>
          <w:u w:val="single"/>
        </w:rPr>
        <w:t>przed</w:t>
      </w:r>
      <w:r>
        <w:rPr>
          <w:rFonts w:ascii="Tahoma" w:hAnsi="Tahoma" w:cs="Tahoma"/>
          <w:color w:val="000000"/>
          <w:sz w:val="20"/>
        </w:rPr>
        <w:t xml:space="preserve"> przystąpieniem do robót budowlanych.</w:t>
      </w:r>
      <w:r>
        <w:rPr>
          <w:rFonts w:ascii="Tahoma" w:hAnsi="Tahoma" w:cs="Tahoma"/>
          <w:sz w:val="20"/>
          <w:szCs w:val="20"/>
        </w:rPr>
        <w:t xml:space="preserve"> W przypadku zbliżenia przewodów do istniejącego zadrzewienia roboty należy prowadzić z zachowaniem ostrożności, w sposób opisany w ww. dokumencie.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</w:rPr>
        <w:t xml:space="preserve">Wycinka drzew (12 szt.) oraz krzewów na podstawie decyzji administracyjnej dostarczonej przez Zamawiającego. 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t>Po zakończonych robotach uporządkowanie terenu budowy.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Udzielenie gwarancji na wszystkie roboty budowlano-montażowe, wbudowane urządzenia, programy itp. na okres 3 lat. Wykonawca zapewni przeprowadzenie przeglądów serwisowych pozwalających na utrzymanie warunków gwarancji urządzeń przez okres 3 lat. Warunki gwarancji opisano we wzorze karty gwarancyjnej. Przeprowadzenie przeglądów gwarancyjnych urządzeń zgodnie z zaleceniami producentów przez okres gwarancji. Koszt materiałów eksploatacyjnych ponosi Zamawiający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Zapewnienie na własny koszt pełnej obsługi geodezyjnej tj. wykonanie wszelkich czynności geodezyjnych mających na celu prawidłowe usytuowanie budowanej sieci w terenie</w:t>
      </w:r>
      <w:r>
        <w:rPr>
          <w:rFonts w:ascii="Tahoma" w:eastAsia="Calibri" w:hAnsi="Tahoma" w:cs="Tahoma"/>
          <w:sz w:val="20"/>
          <w:szCs w:val="20"/>
          <w:lang w:eastAsia="ar-SA"/>
        </w:rPr>
        <w:t xml:space="preserve"> oraz aktualizację baz danych BDOT500, GESUT i </w:t>
      </w:r>
      <w:proofErr w:type="spellStart"/>
      <w:r>
        <w:rPr>
          <w:rFonts w:ascii="Tahoma" w:eastAsia="Calibri" w:hAnsi="Tahoma" w:cs="Tahoma"/>
          <w:sz w:val="20"/>
          <w:szCs w:val="20"/>
          <w:lang w:eastAsia="ar-SA"/>
        </w:rPr>
        <w:t>EGiB</w:t>
      </w:r>
      <w:proofErr w:type="spellEnd"/>
      <w:r>
        <w:rPr>
          <w:rFonts w:ascii="Tahoma" w:eastAsia="Calibri" w:hAnsi="Tahoma" w:cs="Tahoma"/>
          <w:sz w:val="20"/>
          <w:szCs w:val="20"/>
          <w:lang w:eastAsia="ar-SA"/>
        </w:rPr>
        <w:t xml:space="preserve"> prowadzonych przez właściwe Ośrodki Dokumentacji Geodezyjnej i Kartograficznej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w tym:</w:t>
      </w:r>
    </w:p>
    <w:p w:rsidR="00B34F94" w:rsidRDefault="008133CB">
      <w:pPr>
        <w:pStyle w:val="Akapitzlist"/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wytyczenie wszystkich niezbędnych elementów budowanej sieci;</w:t>
      </w:r>
    </w:p>
    <w:p w:rsidR="00B34F94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założenie reperów roboczych, jeżeli będzie taka potrzeba;</w:t>
      </w:r>
    </w:p>
    <w:p w:rsidR="00B34F94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przygotowanie</w:t>
      </w:r>
      <w:r>
        <w:rPr>
          <w:rFonts w:ascii="Tahoma" w:hAnsi="Tahoma" w:cs="Tahoma"/>
          <w:color w:val="000000"/>
          <w:sz w:val="20"/>
          <w:szCs w:val="20"/>
        </w:rPr>
        <w:t xml:space="preserve"> inwentaryzacji powykonawczej – zgodnie z § 9 ust. 2 pkt. I wzoru umowy;</w:t>
      </w:r>
    </w:p>
    <w:p w:rsidR="00B34F94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pozostawienia w gruncie nieczynnego przewodu, należy w dokumentacji odbiorowej dokonać stosownych wpisów lub oznaczeń potwierdzających, że przewód został wyłączony z eksploatacji;</w:t>
      </w:r>
    </w:p>
    <w:p w:rsidR="00B34F94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odtworzenie istniejących i zniszczonych podczas realizacji zadania kamieni granicznych w pasie prowadzonych robót. Odtworzenie kamieni winno zostać potwierdzone protokolarnie przez geodetę;</w:t>
      </w:r>
    </w:p>
    <w:p w:rsidR="00B34F94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przewody fizycznie zlikwidowane należy na inwentaryzacji powykonawczej, przyjętej do zasobów ośrodka dokumentacji geodezyjno-kartograficznej, bezwzględnie usunąć z mapy</w:t>
      </w:r>
      <w:r>
        <w:rPr>
          <w:rFonts w:ascii="Tahoma" w:hAnsi="Tahoma" w:cs="Tahoma"/>
          <w:sz w:val="20"/>
          <w:szCs w:val="20"/>
        </w:rPr>
        <w:t>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odkrycia przedmiotów, co do których istnieje przypuszczenie że mogą być </w:t>
      </w:r>
      <w:r w:rsidRPr="001D0218">
        <w:rPr>
          <w:rFonts w:ascii="Tahoma" w:hAnsi="Tahoma" w:cs="Tahoma"/>
          <w:sz w:val="20"/>
          <w:szCs w:val="20"/>
          <w:u w:val="single"/>
        </w:rPr>
        <w:t>zabytkiem,</w:t>
      </w:r>
      <w:r>
        <w:rPr>
          <w:rFonts w:ascii="Tahoma" w:hAnsi="Tahoma" w:cs="Tahoma"/>
          <w:sz w:val="20"/>
          <w:szCs w:val="20"/>
        </w:rPr>
        <w:t xml:space="preserve"> Wykonawca niezwłocznie wstrzyma roboty, zabezpieczy znalezisko i zawiadomi o tym Kujawsko-Pomorskiego Wojewódzkiego Konserwatora Zabytków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Wymagania branży elektrycznej 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AKPiA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zakres uszczegóławiający do dokumentacji projektowej.</w:t>
      </w:r>
    </w:p>
    <w:p w:rsidR="00B34F94" w:rsidRDefault="00B34F94">
      <w:pPr>
        <w:pStyle w:val="Akapitzlist"/>
        <w:ind w:left="1440"/>
        <w:jc w:val="both"/>
        <w:rPr>
          <w:rFonts w:ascii="Tahoma" w:hAnsi="Tahoma" w:cs="Tahoma"/>
          <w:sz w:val="20"/>
          <w:szCs w:val="20"/>
        </w:rPr>
      </w:pPr>
    </w:p>
    <w:p w:rsidR="00B34F94" w:rsidRDefault="008133CB">
      <w:pPr>
        <w:pStyle w:val="Akapitzlist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W</w:t>
      </w:r>
      <w:r>
        <w:rPr>
          <w:rFonts w:ascii="Tahoma" w:hAnsi="Tahoma" w:cs="Arial"/>
          <w:bCs/>
          <w:iCs/>
          <w:sz w:val="20"/>
          <w:szCs w:val="20"/>
        </w:rPr>
        <w:t>ykonanie robót elektrycznych i z zakresu sterowania i automatyki – na podstawie dokumentacji projektowej oraz poniższych wymagań:</w:t>
      </w:r>
    </w:p>
    <w:p w:rsidR="00B34F94" w:rsidRDefault="00B34F94">
      <w:pPr>
        <w:pStyle w:val="Akapitzlist"/>
        <w:ind w:left="426"/>
        <w:jc w:val="both"/>
        <w:rPr>
          <w:rFonts w:ascii="Tahoma" w:hAnsi="Tahoma" w:cs="Arial"/>
          <w:bCs/>
          <w:iCs/>
          <w:sz w:val="20"/>
          <w:szCs w:val="20"/>
        </w:rPr>
      </w:pPr>
    </w:p>
    <w:p w:rsidR="00B34F94" w:rsidRDefault="008133CB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rFonts w:ascii="Tahoma" w:hAnsi="Tahoma" w:cs="Arial"/>
          <w:bCs/>
          <w:iCs/>
          <w:sz w:val="20"/>
          <w:szCs w:val="20"/>
        </w:rPr>
      </w:pPr>
      <w:r>
        <w:rPr>
          <w:rFonts w:ascii="Tahoma" w:hAnsi="Tahoma" w:cs="Arial"/>
          <w:bCs/>
          <w:iCs/>
          <w:sz w:val="20"/>
          <w:szCs w:val="20"/>
        </w:rPr>
        <w:t>Wymagania dotyczące układu zasilania przepompowni:</w:t>
      </w:r>
    </w:p>
    <w:p w:rsidR="00B34F94" w:rsidRPr="001D0218" w:rsidRDefault="008133CB">
      <w:pPr>
        <w:pStyle w:val="Akapitzlist"/>
        <w:numPr>
          <w:ilvl w:val="0"/>
          <w:numId w:val="4"/>
        </w:numPr>
        <w:ind w:left="993"/>
        <w:jc w:val="both"/>
      </w:pPr>
      <w:r>
        <w:rPr>
          <w:rFonts w:ascii="Tahoma" w:hAnsi="Tahoma" w:cs="Arial"/>
          <w:iCs/>
          <w:sz w:val="20"/>
          <w:szCs w:val="20"/>
        </w:rPr>
        <w:t xml:space="preserve">przepompownia zasilana będzie też </w:t>
      </w:r>
      <w:r w:rsidRPr="00657747">
        <w:rPr>
          <w:rFonts w:ascii="Tahoma" w:hAnsi="Tahoma" w:cs="Arial"/>
          <w:iCs/>
          <w:sz w:val="20"/>
          <w:szCs w:val="20"/>
        </w:rPr>
        <w:t xml:space="preserve">z zasilania </w:t>
      </w:r>
      <w:r w:rsidRPr="001D0218">
        <w:rPr>
          <w:rFonts w:ascii="Tahoma" w:hAnsi="Tahoma" w:cs="Arial"/>
          <w:iCs/>
          <w:sz w:val="20"/>
          <w:szCs w:val="20"/>
        </w:rPr>
        <w:t xml:space="preserve">rezerwowego wraz z układem SZR oraz z agregatu prądotwórczego. Należy wymienić na nowy cały </w:t>
      </w:r>
      <w:proofErr w:type="spellStart"/>
      <w:r w:rsidRPr="001D0218">
        <w:rPr>
          <w:rFonts w:ascii="Tahoma" w:hAnsi="Tahoma" w:cs="Arial"/>
          <w:iCs/>
          <w:sz w:val="20"/>
          <w:szCs w:val="20"/>
        </w:rPr>
        <w:t>przedlicznikowy</w:t>
      </w:r>
      <w:proofErr w:type="spellEnd"/>
      <w:r w:rsidRPr="001D0218">
        <w:rPr>
          <w:rFonts w:ascii="Tahoma" w:hAnsi="Tahoma" w:cs="Arial"/>
          <w:iCs/>
          <w:sz w:val="20"/>
          <w:szCs w:val="20"/>
        </w:rPr>
        <w:t xml:space="preserve"> układ SZR. Należy skoordynować prace w zakresie układu pomiarowego z </w:t>
      </w:r>
      <w:proofErr w:type="spellStart"/>
      <w:r w:rsidRPr="001D0218">
        <w:rPr>
          <w:rFonts w:ascii="Tahoma" w:hAnsi="Tahoma" w:cs="Arial"/>
          <w:iCs/>
          <w:sz w:val="20"/>
          <w:szCs w:val="20"/>
        </w:rPr>
        <w:t>Energa</w:t>
      </w:r>
      <w:proofErr w:type="spellEnd"/>
      <w:r w:rsidRPr="001D0218">
        <w:rPr>
          <w:rFonts w:ascii="Tahoma" w:hAnsi="Tahoma" w:cs="Arial"/>
          <w:iCs/>
          <w:sz w:val="20"/>
          <w:szCs w:val="20"/>
        </w:rPr>
        <w:t xml:space="preserve"> S.A. oraz wykonać wszystkie konieczne prace w układzie zasilania. Należy też w realizacji robót uwzględnić warunki przebudowy zasilającej sieci elektroenergetycznej oraz zapewnić ciągłość zasilania przepompowni w energię elektryczną w czasie budowy.</w:t>
      </w:r>
    </w:p>
    <w:p w:rsidR="00B34F94" w:rsidRDefault="008133CB">
      <w:pPr>
        <w:pStyle w:val="Akapitzlist"/>
        <w:numPr>
          <w:ilvl w:val="0"/>
          <w:numId w:val="4"/>
        </w:numPr>
        <w:ind w:left="993"/>
        <w:jc w:val="both"/>
        <w:rPr>
          <w:rFonts w:ascii="Tahoma" w:hAnsi="Tahoma"/>
          <w:sz w:val="20"/>
          <w:szCs w:val="20"/>
        </w:rPr>
      </w:pPr>
      <w:r w:rsidRPr="001D0218">
        <w:rPr>
          <w:rFonts w:ascii="Tahoma" w:hAnsi="Tahoma" w:cs="Arial"/>
          <w:bCs/>
          <w:iCs/>
          <w:sz w:val="20"/>
          <w:szCs w:val="20"/>
        </w:rPr>
        <w:t xml:space="preserve">Wykonanie robót elektrycznych i  </w:t>
      </w:r>
      <w:proofErr w:type="spellStart"/>
      <w:r w:rsidRPr="001D0218">
        <w:rPr>
          <w:rFonts w:ascii="Tahoma" w:hAnsi="Tahoma" w:cs="Arial"/>
          <w:bCs/>
          <w:iCs/>
          <w:sz w:val="20"/>
          <w:szCs w:val="20"/>
        </w:rPr>
        <w:t>AKPiA</w:t>
      </w:r>
      <w:proofErr w:type="spellEnd"/>
      <w:r w:rsidRPr="001D0218">
        <w:rPr>
          <w:rFonts w:ascii="Tahoma" w:hAnsi="Tahoma" w:cs="Arial"/>
          <w:bCs/>
          <w:iCs/>
          <w:sz w:val="20"/>
          <w:szCs w:val="20"/>
        </w:rPr>
        <w:t xml:space="preserve"> tłoczni ścieków zawiera</w:t>
      </w:r>
      <w:r>
        <w:rPr>
          <w:rFonts w:ascii="Tahoma" w:hAnsi="Tahoma" w:cs="Arial"/>
          <w:bCs/>
          <w:iCs/>
          <w:sz w:val="20"/>
          <w:szCs w:val="20"/>
        </w:rPr>
        <w:t xml:space="preserve"> montaż, uruchomienie, wykonanie oprogramowania, wizualizację, </w:t>
      </w:r>
    </w:p>
    <w:p w:rsidR="00B34F94" w:rsidRDefault="008133CB">
      <w:pPr>
        <w:pStyle w:val="Akapitzlist"/>
        <w:numPr>
          <w:ilvl w:val="0"/>
          <w:numId w:val="4"/>
        </w:numPr>
        <w:ind w:left="993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Arial"/>
          <w:bCs/>
          <w:iCs/>
          <w:sz w:val="20"/>
          <w:szCs w:val="20"/>
        </w:rPr>
        <w:t>po wykonaniu zadania należy przekazać dokumentację projektową powykonawczą, kopie oprogramowania w wersjach skompilowanej i źródłowej, oraz prawa autorskie do oprogramowania w zakresie dla przedmiotowej tłoczni.</w:t>
      </w:r>
    </w:p>
    <w:p w:rsidR="00B34F94" w:rsidRPr="001D0218" w:rsidRDefault="008133CB">
      <w:pPr>
        <w:pStyle w:val="Akapitzlist"/>
        <w:numPr>
          <w:ilvl w:val="0"/>
          <w:numId w:val="4"/>
        </w:numPr>
        <w:ind w:left="993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Arial"/>
          <w:bCs/>
          <w:iCs/>
          <w:sz w:val="20"/>
          <w:szCs w:val="20"/>
        </w:rPr>
        <w:t xml:space="preserve">roboty w branży elektrycznej i </w:t>
      </w:r>
      <w:proofErr w:type="spellStart"/>
      <w:r>
        <w:rPr>
          <w:rFonts w:ascii="Tahoma" w:hAnsi="Tahoma" w:cs="Arial"/>
          <w:bCs/>
          <w:iCs/>
          <w:sz w:val="20"/>
          <w:szCs w:val="20"/>
        </w:rPr>
        <w:t>AKPiA</w:t>
      </w:r>
      <w:proofErr w:type="spellEnd"/>
      <w:r>
        <w:rPr>
          <w:rFonts w:ascii="Tahoma" w:hAnsi="Tahoma" w:cs="Arial"/>
          <w:bCs/>
          <w:iCs/>
          <w:sz w:val="20"/>
          <w:szCs w:val="20"/>
        </w:rPr>
        <w:t xml:space="preserve"> należy wykonać zgodnie z standardami obowiązującymi w T.W. </w:t>
      </w:r>
      <w:proofErr w:type="spellStart"/>
      <w:r>
        <w:rPr>
          <w:rFonts w:ascii="Tahoma" w:hAnsi="Tahoma" w:cs="Arial"/>
          <w:bCs/>
          <w:iCs/>
          <w:sz w:val="20"/>
          <w:szCs w:val="20"/>
        </w:rPr>
        <w:t>Sp</w:t>
      </w:r>
      <w:proofErr w:type="spellEnd"/>
      <w:r>
        <w:rPr>
          <w:rFonts w:ascii="Tahoma" w:hAnsi="Tahoma" w:cs="Arial"/>
          <w:bCs/>
          <w:iCs/>
          <w:sz w:val="20"/>
          <w:szCs w:val="20"/>
        </w:rPr>
        <w:t xml:space="preserve"> z o.o. oraz zakresem zawartym w projektach branży </w:t>
      </w:r>
      <w:r w:rsidRPr="001D0218">
        <w:rPr>
          <w:rFonts w:ascii="Tahoma" w:hAnsi="Tahoma" w:cs="Arial"/>
          <w:bCs/>
          <w:iCs/>
          <w:sz w:val="20"/>
          <w:szCs w:val="20"/>
        </w:rPr>
        <w:t xml:space="preserve">elektrycznej i </w:t>
      </w:r>
      <w:proofErr w:type="spellStart"/>
      <w:r w:rsidRPr="001D0218">
        <w:rPr>
          <w:rFonts w:ascii="Tahoma" w:hAnsi="Tahoma" w:cs="Arial"/>
          <w:bCs/>
          <w:iCs/>
          <w:sz w:val="20"/>
          <w:szCs w:val="20"/>
        </w:rPr>
        <w:t>AKPiA</w:t>
      </w:r>
      <w:proofErr w:type="spellEnd"/>
      <w:r w:rsidRPr="001D0218">
        <w:rPr>
          <w:rFonts w:ascii="Tahoma" w:hAnsi="Tahoma" w:cs="Arial"/>
          <w:bCs/>
          <w:iCs/>
          <w:sz w:val="20"/>
          <w:szCs w:val="20"/>
        </w:rPr>
        <w:t xml:space="preserve">.  </w:t>
      </w:r>
    </w:p>
    <w:p w:rsidR="00B34F94" w:rsidRPr="001D0218" w:rsidRDefault="008133CB">
      <w:pPr>
        <w:pStyle w:val="Akapitzlist"/>
        <w:numPr>
          <w:ilvl w:val="0"/>
          <w:numId w:val="4"/>
        </w:numPr>
        <w:ind w:left="993"/>
        <w:jc w:val="both"/>
      </w:pPr>
      <w:r w:rsidRPr="001D0218">
        <w:rPr>
          <w:rFonts w:ascii="Tahoma" w:hAnsi="Tahoma" w:cs="Arial"/>
          <w:iCs/>
          <w:sz w:val="20"/>
          <w:szCs w:val="20"/>
        </w:rPr>
        <w:t xml:space="preserve">Moc kompensacji mocy biernej jest zaprojektowana na poziomie 1 </w:t>
      </w:r>
      <w:proofErr w:type="spellStart"/>
      <w:r w:rsidRPr="001D0218">
        <w:rPr>
          <w:rFonts w:ascii="Tahoma" w:hAnsi="Tahoma" w:cs="Arial"/>
          <w:iCs/>
          <w:sz w:val="20"/>
          <w:szCs w:val="20"/>
        </w:rPr>
        <w:t>kVAr</w:t>
      </w:r>
      <w:proofErr w:type="spellEnd"/>
      <w:r w:rsidRPr="001D0218">
        <w:rPr>
          <w:rFonts w:ascii="Tahoma" w:hAnsi="Tahoma" w:cs="Arial"/>
          <w:iCs/>
          <w:sz w:val="20"/>
          <w:szCs w:val="20"/>
        </w:rPr>
        <w:t>, jeżeli ta moc nie będzie wystarczająca należy powiększyć moc kondensatorów tak, aby tg fi wyniósł nie więcej niż 0,3.</w:t>
      </w:r>
    </w:p>
    <w:p w:rsidR="00B34F94" w:rsidRDefault="008133CB">
      <w:pPr>
        <w:pStyle w:val="Akapitzlist"/>
        <w:numPr>
          <w:ilvl w:val="0"/>
          <w:numId w:val="4"/>
        </w:numPr>
        <w:ind w:left="993"/>
        <w:jc w:val="both"/>
        <w:rPr>
          <w:rFonts w:ascii="Tahoma" w:hAnsi="Tahoma"/>
          <w:sz w:val="20"/>
          <w:szCs w:val="20"/>
        </w:rPr>
      </w:pPr>
      <w:r w:rsidRPr="001D0218">
        <w:rPr>
          <w:rFonts w:ascii="Tahoma" w:hAnsi="Tahoma" w:cs="Arial"/>
          <w:bCs/>
          <w:iCs/>
          <w:sz w:val="20"/>
          <w:szCs w:val="20"/>
        </w:rPr>
        <w:t>Oprawy w komorze</w:t>
      </w:r>
      <w:r>
        <w:rPr>
          <w:rFonts w:ascii="Tahoma" w:hAnsi="Tahoma" w:cs="Arial"/>
          <w:bCs/>
          <w:iCs/>
          <w:sz w:val="20"/>
          <w:szCs w:val="20"/>
        </w:rPr>
        <w:t xml:space="preserve"> tłoczni zmontować w ilości pozwalającej na uzyskanie średniego natężenia 200 lx.</w:t>
      </w:r>
    </w:p>
    <w:p w:rsidR="00B34F94" w:rsidRDefault="008133CB">
      <w:pPr>
        <w:pStyle w:val="Akapitzlist"/>
        <w:numPr>
          <w:ilvl w:val="0"/>
          <w:numId w:val="4"/>
        </w:numPr>
        <w:tabs>
          <w:tab w:val="left" w:pos="993"/>
        </w:tabs>
        <w:ind w:left="993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Arial"/>
          <w:bCs/>
          <w:iCs/>
          <w:sz w:val="20"/>
          <w:szCs w:val="20"/>
        </w:rPr>
        <w:t xml:space="preserve">Pompy tłoczni mają być sterowane w cyklu pracy automatycznej zgodnie z wytycznymi projektanta branży technologicznej. </w:t>
      </w:r>
    </w:p>
    <w:p w:rsidR="00B34F94" w:rsidRPr="001D0218" w:rsidRDefault="008133CB">
      <w:pPr>
        <w:pStyle w:val="Akapitzlist"/>
        <w:numPr>
          <w:ilvl w:val="0"/>
          <w:numId w:val="4"/>
        </w:numPr>
        <w:tabs>
          <w:tab w:val="left" w:pos="993"/>
        </w:tabs>
        <w:ind w:left="993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Arial"/>
          <w:bCs/>
          <w:iCs/>
          <w:sz w:val="20"/>
          <w:szCs w:val="20"/>
        </w:rPr>
        <w:t xml:space="preserve">W komorze tłoczni należy wykonać sieć połączeń wyrównawczych dla wszystkich elementów wykonanych z materiałów </w:t>
      </w:r>
      <w:r w:rsidRPr="001D0218">
        <w:rPr>
          <w:rFonts w:ascii="Tahoma" w:hAnsi="Tahoma" w:cs="Arial"/>
          <w:bCs/>
          <w:iCs/>
          <w:sz w:val="20"/>
          <w:szCs w:val="20"/>
        </w:rPr>
        <w:t xml:space="preserve">przewodzących prąd elektryczny przewodem o przekroju 10 mm2. </w:t>
      </w:r>
    </w:p>
    <w:p w:rsidR="00B34F94" w:rsidRPr="001D0218" w:rsidRDefault="008133CB">
      <w:pPr>
        <w:pStyle w:val="Akapitzlist"/>
        <w:numPr>
          <w:ilvl w:val="0"/>
          <w:numId w:val="4"/>
        </w:numPr>
        <w:tabs>
          <w:tab w:val="left" w:pos="993"/>
        </w:tabs>
        <w:ind w:left="993"/>
        <w:jc w:val="both"/>
      </w:pPr>
      <w:r w:rsidRPr="001D0218">
        <w:rPr>
          <w:rFonts w:ascii="Tahoma" w:hAnsi="Tahoma" w:cs="Arial"/>
          <w:bCs/>
          <w:iCs/>
          <w:sz w:val="20"/>
          <w:szCs w:val="20"/>
        </w:rPr>
        <w:t>Po wykonaniu robót montażowych należy wykonać pomiary w zakresie: dodatkowej ochrony od porażeń , rezystancji izolacji, uziemienia, natężenia oświetlenia oraz próby funkcjonalne działania zabezpieczeń, sterowania, sygnalizacji i monitoringu.</w:t>
      </w:r>
    </w:p>
    <w:p w:rsidR="00B34F94" w:rsidRPr="001D0218" w:rsidRDefault="00B34F94">
      <w:pPr>
        <w:pStyle w:val="Tekstpodstawowy"/>
        <w:tabs>
          <w:tab w:val="left" w:pos="683"/>
        </w:tabs>
        <w:ind w:left="555"/>
        <w:jc w:val="both"/>
        <w:rPr>
          <w:rFonts w:ascii="Tahoma" w:hAnsi="Tahoma" w:cs="Arial"/>
          <w:bCs/>
          <w:iCs/>
          <w:sz w:val="20"/>
          <w:szCs w:val="20"/>
        </w:rPr>
      </w:pPr>
    </w:p>
    <w:p w:rsidR="00B34F94" w:rsidRDefault="008133CB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rFonts w:ascii="Tahoma" w:hAnsi="Tahoma" w:cs="Arial"/>
          <w:bCs/>
          <w:iCs/>
          <w:sz w:val="20"/>
          <w:szCs w:val="20"/>
        </w:rPr>
      </w:pPr>
      <w:r w:rsidRPr="001D0218">
        <w:rPr>
          <w:rFonts w:ascii="Tahoma" w:hAnsi="Tahoma" w:cs="Arial"/>
          <w:bCs/>
          <w:iCs/>
          <w:sz w:val="20"/>
          <w:szCs w:val="20"/>
        </w:rPr>
        <w:t>Wymagania dotyczące układu sterowania i wizualizacji przepompowni</w:t>
      </w:r>
      <w:r>
        <w:rPr>
          <w:rFonts w:ascii="Tahoma" w:hAnsi="Tahoma" w:cs="Arial"/>
          <w:bCs/>
          <w:iCs/>
          <w:sz w:val="20"/>
          <w:szCs w:val="20"/>
        </w:rPr>
        <w:t>:</w:t>
      </w:r>
    </w:p>
    <w:p w:rsidR="00B34F94" w:rsidRDefault="008133CB">
      <w:pPr>
        <w:pStyle w:val="Tekstpodstawowy"/>
        <w:jc w:val="both"/>
        <w:rPr>
          <w:rFonts w:ascii="Tahoma" w:hAnsi="Tahoma" w:cs="Arial"/>
          <w:bCs/>
          <w:iCs/>
          <w:sz w:val="20"/>
          <w:szCs w:val="20"/>
        </w:rPr>
      </w:pPr>
      <w:r>
        <w:rPr>
          <w:rFonts w:ascii="Tahoma" w:hAnsi="Tahoma" w:cs="Arial"/>
          <w:bCs/>
          <w:iCs/>
          <w:sz w:val="20"/>
          <w:szCs w:val="20"/>
        </w:rPr>
        <w:t xml:space="preserve">Sterowanie główne powinno zostać oparte na bazie sterownika programowalnego (np. Schneider </w:t>
      </w:r>
      <w:proofErr w:type="spellStart"/>
      <w:r>
        <w:rPr>
          <w:rFonts w:ascii="Tahoma" w:hAnsi="Tahoma" w:cs="Arial"/>
          <w:bCs/>
          <w:iCs/>
          <w:sz w:val="20"/>
          <w:szCs w:val="20"/>
        </w:rPr>
        <w:t>Modicon</w:t>
      </w:r>
      <w:proofErr w:type="spellEnd"/>
      <w:r>
        <w:rPr>
          <w:rFonts w:ascii="Tahoma" w:hAnsi="Tahoma" w:cs="Arial"/>
          <w:bCs/>
          <w:iCs/>
          <w:sz w:val="20"/>
          <w:szCs w:val="20"/>
        </w:rPr>
        <w:t xml:space="preserve"> M340 w wersji P-34-1000), wraz z panelem operatorskim (np. </w:t>
      </w:r>
      <w:proofErr w:type="spellStart"/>
      <w:r>
        <w:rPr>
          <w:rFonts w:ascii="Tahoma" w:hAnsi="Tahoma" w:cs="Arial"/>
          <w:bCs/>
          <w:iCs/>
          <w:sz w:val="20"/>
          <w:szCs w:val="20"/>
        </w:rPr>
        <w:t>Astraada</w:t>
      </w:r>
      <w:proofErr w:type="spellEnd"/>
      <w:r>
        <w:rPr>
          <w:rFonts w:ascii="Tahoma" w:hAnsi="Tahoma" w:cs="Arial"/>
          <w:bCs/>
          <w:iCs/>
          <w:sz w:val="20"/>
          <w:szCs w:val="20"/>
        </w:rPr>
        <w:t xml:space="preserve"> AS45TFT0403), moduł komunikacyjny GPRS (np. </w:t>
      </w:r>
      <w:proofErr w:type="spellStart"/>
      <w:r>
        <w:rPr>
          <w:rFonts w:ascii="Tahoma" w:hAnsi="Tahoma" w:cs="Arial"/>
          <w:bCs/>
          <w:iCs/>
          <w:sz w:val="20"/>
          <w:szCs w:val="20"/>
        </w:rPr>
        <w:t>InVentia</w:t>
      </w:r>
      <w:proofErr w:type="spellEnd"/>
      <w:r>
        <w:rPr>
          <w:rFonts w:ascii="Tahoma" w:hAnsi="Tahoma" w:cs="Arial"/>
          <w:bCs/>
          <w:iCs/>
          <w:sz w:val="20"/>
          <w:szCs w:val="20"/>
        </w:rPr>
        <w:t xml:space="preserve"> MTX-2050), oraz analizatorem sieciowym energii elektrycznej (np. SELEC). Kartę SIM pracującą w wewnętrznym APN należącym do TW dostarcza Zamawiający. Antenę modemu GSM należy zamontować tak, aby moc sygnału GSM, niezależnie od warunków pogodowych, była zawsze powyżej 85% dla komunikacji 2G.</w:t>
      </w:r>
    </w:p>
    <w:p w:rsidR="00B34F94" w:rsidRDefault="008133CB">
      <w:pPr>
        <w:pStyle w:val="Tekstpodstawowy"/>
        <w:spacing w:after="20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Wszelkie zastosowane w rozdzielni urządzenia sieciowe (np. </w:t>
      </w:r>
      <w:proofErr w:type="spellStart"/>
      <w:r>
        <w:rPr>
          <w:rFonts w:ascii="Tahoma" w:hAnsi="Tahoma"/>
          <w:sz w:val="20"/>
          <w:szCs w:val="20"/>
        </w:rPr>
        <w:t>switche</w:t>
      </w:r>
      <w:proofErr w:type="spellEnd"/>
      <w:r>
        <w:rPr>
          <w:rFonts w:ascii="Tahoma" w:hAnsi="Tahoma"/>
          <w:sz w:val="20"/>
          <w:szCs w:val="20"/>
        </w:rPr>
        <w:t>) muszą być typu przemysłowego, z możliwością zdalnego zarządzania, przystosowane do pracy w zakresie temperatur co najmniej od 0°C do 60°C.</w:t>
      </w:r>
    </w:p>
    <w:p w:rsidR="00B34F94" w:rsidRDefault="008133CB">
      <w:pPr>
        <w:pStyle w:val="Tekstpodstawowy"/>
        <w:spacing w:after="20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W przypadku użytych w nawiasach nazw własnych materiałów, nazw producentów i znaków towarowych, należy je rozumieć jako określenie standardów w Toruńskich Wodociągach. Nie są one wiążące i można dostarczyć urządzenia równoważne, innych producentów, których charakterystyka i parametry nie są gorsze, niż urządzeń podanych powyżej.</w:t>
      </w:r>
    </w:p>
    <w:p w:rsidR="00B34F94" w:rsidRDefault="008133CB">
      <w:pPr>
        <w:pStyle w:val="Tekstpodstawowy"/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 przypadku dostarczenia innego sterownika lub panelu operatorskiego, niż wskazane w nawiasach, Wykonawca zobowiązany jest dostarczyć Zamawiającemu:</w:t>
      </w:r>
    </w:p>
    <w:p w:rsidR="00B34F94" w:rsidRDefault="008133CB">
      <w:pPr>
        <w:pStyle w:val="Tekstpodstawowy"/>
        <w:numPr>
          <w:ilvl w:val="0"/>
          <w:numId w:val="5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co najmniej 5-cio dniowe szkolenie w autoryzowanym centrum szkoleniowym z obsługi i programowania sterownika i panelu; </w:t>
      </w:r>
    </w:p>
    <w:p w:rsidR="00B34F94" w:rsidRDefault="008133CB">
      <w:pPr>
        <w:pStyle w:val="Tekstpodstawowy"/>
        <w:numPr>
          <w:ilvl w:val="0"/>
          <w:numId w:val="5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zapasowy sterownik wraz z modułami wejść/wyjść, oraz panel operatorski; </w:t>
      </w:r>
    </w:p>
    <w:p w:rsidR="00B34F94" w:rsidRDefault="008133CB">
      <w:pPr>
        <w:pStyle w:val="Tekstpodstawowy"/>
        <w:numPr>
          <w:ilvl w:val="0"/>
          <w:numId w:val="5"/>
        </w:numPr>
        <w:tabs>
          <w:tab w:val="clear" w:pos="707"/>
          <w:tab w:val="left" w:pos="0"/>
        </w:tabs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laptop przemysłowy wraz z oprogramowaniem z licencją bezterminową do obsługi i programowania sterownika i panelu; </w:t>
      </w:r>
    </w:p>
    <w:p w:rsidR="00B34F94" w:rsidRDefault="008133CB">
      <w:pPr>
        <w:pStyle w:val="Tekstpodstawowy"/>
        <w:numPr>
          <w:ilvl w:val="0"/>
          <w:numId w:val="5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licencję na system operacyjny z rodziny Microsoft w wersji Professional. </w:t>
      </w:r>
    </w:p>
    <w:p w:rsidR="00B34F94" w:rsidRDefault="008133CB">
      <w:pPr>
        <w:pStyle w:val="Tekstpodstawowy"/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 przypadku dostarczenia innego modułu komunikacyjnego GPRS, niż wskazany w nawiasie, Wykonawca zobowiązany jest dostarczyć Zamawiającemu:</w:t>
      </w:r>
    </w:p>
    <w:p w:rsidR="00B34F94" w:rsidRDefault="008133CB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szkolenie w autoryzowanym centrum szkoleniowym z obsługi i programowania modułu; </w:t>
      </w:r>
    </w:p>
    <w:p w:rsidR="00B34F94" w:rsidRDefault="008133CB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zapasowy nowy moduł; </w:t>
      </w:r>
    </w:p>
    <w:p w:rsidR="00B34F94" w:rsidRDefault="008133CB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licencję na serwer OPC, przy pomocy którego zostaną udostępnione dane; </w:t>
      </w:r>
    </w:p>
    <w:p w:rsidR="00B34F94" w:rsidRDefault="008133CB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nowy serwer wraz z licencją bezterminową do obsługi i programowania modułu; </w:t>
      </w:r>
    </w:p>
    <w:p w:rsidR="00B34F94" w:rsidRDefault="008133CB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konfiguracja serwera: </w:t>
      </w:r>
    </w:p>
    <w:p w:rsidR="00B34F94" w:rsidRDefault="008133CB">
      <w:pPr>
        <w:pStyle w:val="Tekstpodstawowy"/>
        <w:spacing w:after="0" w:line="276" w:lineRule="auto"/>
        <w:ind w:left="851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- obudowa typu RACK do montażu w szafie 19’’ wielkości 1U;</w:t>
      </w:r>
    </w:p>
    <w:p w:rsidR="00B34F94" w:rsidRDefault="008133CB">
      <w:pPr>
        <w:pStyle w:val="Tekstpodstawowy"/>
        <w:spacing w:after="0" w:line="276" w:lineRule="auto"/>
        <w:ind w:left="851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- minimum 2 dyski typu hot </w:t>
      </w:r>
      <w:proofErr w:type="spellStart"/>
      <w:r>
        <w:rPr>
          <w:rFonts w:ascii="Tahoma" w:hAnsi="Tahoma"/>
          <w:sz w:val="20"/>
          <w:szCs w:val="20"/>
        </w:rPr>
        <w:t>swap</w:t>
      </w:r>
      <w:proofErr w:type="spellEnd"/>
      <w:r>
        <w:rPr>
          <w:rFonts w:ascii="Tahoma" w:hAnsi="Tahoma"/>
          <w:sz w:val="20"/>
          <w:szCs w:val="20"/>
        </w:rPr>
        <w:t xml:space="preserve"> w konfiguracji </w:t>
      </w:r>
      <w:proofErr w:type="spellStart"/>
      <w:r>
        <w:rPr>
          <w:rFonts w:ascii="Tahoma" w:hAnsi="Tahoma"/>
          <w:sz w:val="20"/>
          <w:szCs w:val="20"/>
        </w:rPr>
        <w:t>Raid</w:t>
      </w:r>
      <w:proofErr w:type="spellEnd"/>
      <w:r>
        <w:rPr>
          <w:rFonts w:ascii="Tahoma" w:hAnsi="Tahoma"/>
          <w:sz w:val="20"/>
          <w:szCs w:val="20"/>
        </w:rPr>
        <w:t xml:space="preserve"> 1; </w:t>
      </w:r>
    </w:p>
    <w:p w:rsidR="00B34F94" w:rsidRDefault="008133CB">
      <w:pPr>
        <w:pStyle w:val="Tekstpodstawowy"/>
        <w:spacing w:after="0" w:line="276" w:lineRule="auto"/>
        <w:ind w:left="851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- minimum 2 zasilacze zapewniające redundancję zasilania; </w:t>
      </w:r>
    </w:p>
    <w:p w:rsidR="00B34F94" w:rsidRDefault="008133CB">
      <w:pPr>
        <w:pStyle w:val="Tekstpodstawowy"/>
        <w:spacing w:after="0" w:line="276" w:lineRule="auto"/>
        <w:ind w:left="851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- konfiguracja zalecana przez producenta systemu operacyjnego, oraz oprogramowania modułu; </w:t>
      </w:r>
    </w:p>
    <w:p w:rsidR="00B34F94" w:rsidRDefault="008133CB">
      <w:pPr>
        <w:pStyle w:val="Tekstpodstawowy"/>
        <w:spacing w:after="0" w:line="276" w:lineRule="auto"/>
        <w:ind w:left="851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- licencja na system operacyjny na bezterminowe użytkowanie; </w:t>
      </w:r>
    </w:p>
    <w:p w:rsidR="00B34F94" w:rsidRPr="001D0218" w:rsidRDefault="008133CB">
      <w:pPr>
        <w:pStyle w:val="Tekstpodstawowy"/>
        <w:spacing w:after="0" w:line="276" w:lineRule="auto"/>
        <w:ind w:left="851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- gwarancja </w:t>
      </w:r>
      <w:r w:rsidRPr="001D0218">
        <w:rPr>
          <w:rFonts w:ascii="Tahoma" w:hAnsi="Tahoma"/>
          <w:sz w:val="20"/>
          <w:szCs w:val="20"/>
        </w:rPr>
        <w:t xml:space="preserve">producenta na 3 lata. </w:t>
      </w:r>
    </w:p>
    <w:p w:rsidR="00312431" w:rsidRPr="001D0218" w:rsidRDefault="00312431">
      <w:pPr>
        <w:pStyle w:val="Tekstpodstawowy"/>
        <w:spacing w:after="0"/>
        <w:jc w:val="both"/>
        <w:rPr>
          <w:rFonts w:ascii="Tahoma" w:hAnsi="Tahoma"/>
          <w:sz w:val="20"/>
          <w:szCs w:val="20"/>
        </w:rPr>
      </w:pPr>
    </w:p>
    <w:p w:rsidR="00312431" w:rsidRPr="001D0218" w:rsidRDefault="00312431" w:rsidP="00312431">
      <w:pPr>
        <w:rPr>
          <w:rFonts w:ascii="Tahoma" w:hAnsi="Tahoma" w:cs="Arial"/>
          <w:iCs/>
          <w:sz w:val="20"/>
          <w:szCs w:val="20"/>
        </w:rPr>
      </w:pPr>
      <w:r w:rsidRPr="001D0218">
        <w:rPr>
          <w:rFonts w:ascii="Tahoma" w:hAnsi="Tahoma" w:cs="Arial"/>
          <w:iCs/>
          <w:sz w:val="20"/>
          <w:szCs w:val="20"/>
        </w:rPr>
        <w:t xml:space="preserve">Szafę sterującą należy wyposażyć w układ analizatora sieci wraz z niezbędnymi przekładnikami prądowymi oraz przewidzieć możliwość obliczania wskaźnika energochłonności </w:t>
      </w:r>
      <w:proofErr w:type="spellStart"/>
      <w:r w:rsidRPr="001D0218">
        <w:rPr>
          <w:rFonts w:ascii="Tahoma" w:hAnsi="Tahoma" w:cs="Arial"/>
          <w:iCs/>
          <w:sz w:val="20"/>
          <w:szCs w:val="20"/>
        </w:rPr>
        <w:t>kWh</w:t>
      </w:r>
      <w:proofErr w:type="spellEnd"/>
      <w:r w:rsidRPr="001D0218">
        <w:rPr>
          <w:rFonts w:ascii="Tahoma" w:hAnsi="Tahoma" w:cs="Arial"/>
          <w:iCs/>
          <w:sz w:val="20"/>
          <w:szCs w:val="20"/>
        </w:rPr>
        <w:t xml:space="preserve">/m3 oraz pomiar zużytej energii elektrycznej w </w:t>
      </w:r>
      <w:proofErr w:type="spellStart"/>
      <w:r w:rsidRPr="001D0218">
        <w:rPr>
          <w:rFonts w:ascii="Tahoma" w:hAnsi="Tahoma" w:cs="Arial"/>
          <w:iCs/>
          <w:sz w:val="20"/>
          <w:szCs w:val="20"/>
        </w:rPr>
        <w:t>kWh</w:t>
      </w:r>
      <w:proofErr w:type="spellEnd"/>
      <w:r w:rsidRPr="001D0218">
        <w:rPr>
          <w:rFonts w:ascii="Tahoma" w:hAnsi="Tahoma" w:cs="Arial"/>
          <w:iCs/>
          <w:sz w:val="20"/>
          <w:szCs w:val="20"/>
        </w:rPr>
        <w:t xml:space="preserve"> wraz z przesyłem i archiwizacją w zewnętrznym systemie </w:t>
      </w:r>
      <w:proofErr w:type="spellStart"/>
      <w:r w:rsidRPr="001D0218">
        <w:rPr>
          <w:rFonts w:ascii="Tahoma" w:hAnsi="Tahoma" w:cs="Arial"/>
          <w:iCs/>
          <w:sz w:val="20"/>
          <w:szCs w:val="20"/>
        </w:rPr>
        <w:t>Scada</w:t>
      </w:r>
      <w:proofErr w:type="spellEnd"/>
    </w:p>
    <w:p w:rsidR="00B34F94" w:rsidRDefault="008133CB">
      <w:pPr>
        <w:pStyle w:val="Tekstpodstawowy"/>
        <w:spacing w:after="0"/>
        <w:jc w:val="both"/>
        <w:rPr>
          <w:rFonts w:ascii="Tahoma" w:hAnsi="Tahoma"/>
          <w:sz w:val="20"/>
          <w:szCs w:val="20"/>
        </w:rPr>
      </w:pPr>
      <w:r w:rsidRPr="001D0218">
        <w:rPr>
          <w:rFonts w:ascii="Tahoma" w:hAnsi="Tahoma"/>
          <w:sz w:val="20"/>
          <w:szCs w:val="20"/>
        </w:rPr>
        <w:br/>
        <w:t>Należy uruchomić instalację monitoringu GSM</w:t>
      </w:r>
      <w:r>
        <w:rPr>
          <w:rFonts w:ascii="Tahoma" w:hAnsi="Tahoma"/>
          <w:sz w:val="20"/>
          <w:szCs w:val="20"/>
        </w:rPr>
        <w:t xml:space="preserve"> po protokole </w:t>
      </w:r>
      <w:proofErr w:type="spellStart"/>
      <w:r>
        <w:rPr>
          <w:rFonts w:ascii="Tahoma" w:hAnsi="Tahoma"/>
          <w:sz w:val="20"/>
          <w:szCs w:val="20"/>
        </w:rPr>
        <w:t>Modbus</w:t>
      </w:r>
      <w:proofErr w:type="spellEnd"/>
      <w:r>
        <w:rPr>
          <w:rFonts w:ascii="Tahoma" w:hAnsi="Tahoma"/>
          <w:sz w:val="20"/>
          <w:szCs w:val="20"/>
        </w:rPr>
        <w:t xml:space="preserve"> RTU pomiędzy sterownikiem przepompowni a serwerem znajdującym się w budynku biurowym przy ul. Rybaki 31/35. Wykonany monitoring musi pozwalać obsłudze Centrum na podgląd wszelkich danych z tłoczni z częstotliwością ok. 1 min poprzez aplikacje </w:t>
      </w:r>
      <w:proofErr w:type="spellStart"/>
      <w:r>
        <w:rPr>
          <w:rFonts w:ascii="Tahoma" w:hAnsi="Tahoma"/>
          <w:sz w:val="20"/>
          <w:szCs w:val="20"/>
        </w:rPr>
        <w:t>InTouch</w:t>
      </w:r>
      <w:proofErr w:type="spellEnd"/>
      <w:r>
        <w:rPr>
          <w:rFonts w:ascii="Tahoma" w:hAnsi="Tahoma"/>
          <w:sz w:val="20"/>
          <w:szCs w:val="20"/>
        </w:rPr>
        <w:t xml:space="preserve"> i </w:t>
      </w:r>
      <w:proofErr w:type="spellStart"/>
      <w:r>
        <w:rPr>
          <w:rFonts w:ascii="Tahoma" w:hAnsi="Tahoma"/>
          <w:sz w:val="20"/>
          <w:szCs w:val="20"/>
        </w:rPr>
        <w:t>Information</w:t>
      </w:r>
      <w:proofErr w:type="spellEnd"/>
      <w:r>
        <w:rPr>
          <w:rFonts w:ascii="Tahoma" w:hAnsi="Tahoma"/>
          <w:sz w:val="20"/>
          <w:szCs w:val="20"/>
        </w:rPr>
        <w:t xml:space="preserve"> Server Portal oraz archiwizację danych na serwerze </w:t>
      </w:r>
      <w:proofErr w:type="spellStart"/>
      <w:r>
        <w:rPr>
          <w:rFonts w:ascii="Tahoma" w:hAnsi="Tahoma"/>
          <w:sz w:val="20"/>
          <w:szCs w:val="20"/>
        </w:rPr>
        <w:t>Historian</w:t>
      </w:r>
      <w:proofErr w:type="spellEnd"/>
      <w:r>
        <w:rPr>
          <w:rFonts w:ascii="Tahoma" w:hAnsi="Tahoma"/>
          <w:sz w:val="20"/>
          <w:szCs w:val="20"/>
        </w:rPr>
        <w:t xml:space="preserve">. Zmienne, które mają być przechowywane w </w:t>
      </w:r>
      <w:proofErr w:type="spellStart"/>
      <w:r>
        <w:rPr>
          <w:rFonts w:ascii="Tahoma" w:hAnsi="Tahoma"/>
          <w:sz w:val="20"/>
          <w:szCs w:val="20"/>
        </w:rPr>
        <w:t>Historianie</w:t>
      </w:r>
      <w:proofErr w:type="spellEnd"/>
      <w:r>
        <w:rPr>
          <w:rFonts w:ascii="Tahoma" w:hAnsi="Tahoma"/>
          <w:sz w:val="20"/>
          <w:szCs w:val="20"/>
        </w:rPr>
        <w:t xml:space="preserve">, należy uzgodnić z działem FIA Toruńskich Wodociągów. Konieczna jest weryfikacja raportów generowanych przy pomocy oprogramowania </w:t>
      </w:r>
      <w:proofErr w:type="spellStart"/>
      <w:r>
        <w:rPr>
          <w:rFonts w:ascii="Tahoma" w:hAnsi="Tahoma"/>
          <w:sz w:val="20"/>
          <w:szCs w:val="20"/>
        </w:rPr>
        <w:t>Active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Factory</w:t>
      </w:r>
      <w:proofErr w:type="spellEnd"/>
      <w:r>
        <w:rPr>
          <w:rFonts w:ascii="Tahoma" w:hAnsi="Tahoma"/>
          <w:sz w:val="20"/>
          <w:szCs w:val="20"/>
        </w:rPr>
        <w:t xml:space="preserve"> pod kontem wykorzystania nowych zmiennych. Dodatkowo należy zaktualizować system powiadomienia o włamaniu o nowy obiekt w siedzibie firmy ochroniarskiej </w:t>
      </w:r>
      <w:proofErr w:type="spellStart"/>
      <w:r>
        <w:rPr>
          <w:rFonts w:ascii="Tahoma" w:hAnsi="Tahoma"/>
          <w:sz w:val="20"/>
          <w:szCs w:val="20"/>
        </w:rPr>
        <w:t>Konsalnet</w:t>
      </w:r>
      <w:proofErr w:type="spellEnd"/>
      <w:r>
        <w:rPr>
          <w:rFonts w:ascii="Tahoma" w:hAnsi="Tahoma"/>
          <w:sz w:val="20"/>
          <w:szCs w:val="20"/>
        </w:rPr>
        <w:t xml:space="preserve"> Toruń. Ekrany synoptyczne </w:t>
      </w:r>
      <w:proofErr w:type="spellStart"/>
      <w:r>
        <w:rPr>
          <w:rFonts w:ascii="Tahoma" w:hAnsi="Tahoma"/>
          <w:sz w:val="20"/>
          <w:szCs w:val="20"/>
        </w:rPr>
        <w:t>Scady</w:t>
      </w:r>
      <w:proofErr w:type="spellEnd"/>
      <w:r>
        <w:rPr>
          <w:rFonts w:ascii="Tahoma" w:hAnsi="Tahoma"/>
          <w:sz w:val="20"/>
          <w:szCs w:val="20"/>
        </w:rPr>
        <w:t xml:space="preserve"> tj. wygląd okien, diagramy, alarmy oraz archiwizację danych należy wykonać zgodnie z zastanym w aplikacji standardem. Po zakończeniu prac należy przekazać Zamawiającemu, aktualne kopie oprogramowania w wersjach źródłowych (edytowalnych) dla sterownika, panelu operatorskiego i modułu komunikacyjnego GPRS, oraz dla wizualizacji </w:t>
      </w:r>
      <w:proofErr w:type="spellStart"/>
      <w:r>
        <w:rPr>
          <w:rFonts w:ascii="Tahoma" w:hAnsi="Tahoma"/>
          <w:sz w:val="20"/>
          <w:szCs w:val="20"/>
        </w:rPr>
        <w:t>InTouch</w:t>
      </w:r>
      <w:proofErr w:type="spellEnd"/>
      <w:r>
        <w:rPr>
          <w:rFonts w:ascii="Tahoma" w:hAnsi="Tahoma"/>
          <w:sz w:val="20"/>
          <w:szCs w:val="20"/>
        </w:rPr>
        <w:t xml:space="preserve"> i </w:t>
      </w:r>
      <w:proofErr w:type="spellStart"/>
      <w:r>
        <w:rPr>
          <w:rFonts w:ascii="Tahoma" w:hAnsi="Tahoma"/>
          <w:sz w:val="20"/>
          <w:szCs w:val="20"/>
        </w:rPr>
        <w:t>Information</w:t>
      </w:r>
      <w:proofErr w:type="spellEnd"/>
      <w:r>
        <w:rPr>
          <w:rFonts w:ascii="Tahoma" w:hAnsi="Tahoma"/>
          <w:sz w:val="20"/>
          <w:szCs w:val="20"/>
        </w:rPr>
        <w:t xml:space="preserve"> Server Portal. Oprogramowanie, jak również pojedyncze bloki programowe, nie mogą być zabezpieczone hasłami. Jeżeli podczas prac konieczna będzie zmiana oprogramowania systemowego (np. narzędziowego, licencyjnego lub </w:t>
      </w:r>
      <w:proofErr w:type="spellStart"/>
      <w:r>
        <w:rPr>
          <w:rFonts w:ascii="Tahoma" w:hAnsi="Tahoma"/>
          <w:sz w:val="20"/>
          <w:szCs w:val="20"/>
        </w:rPr>
        <w:t>firmware</w:t>
      </w:r>
      <w:proofErr w:type="spellEnd"/>
      <w:r>
        <w:rPr>
          <w:rFonts w:ascii="Tahoma" w:hAnsi="Tahoma"/>
          <w:sz w:val="20"/>
          <w:szCs w:val="20"/>
        </w:rPr>
        <w:t xml:space="preserve">) posiadanego przez Zamawiającego na nowszą lub inną wersję, Wykonawca dostarczy i uwzględni koszt nowej wersji w cenie za realizację zamówienia. Aktualizacja oprogramowania musi być zgodna ze standardem już obecnym. Wszelkie trendy, systemy raportowania muszą być zgodne z już istniejącym systemem (dotyczy funkcjonalności oraz wyglądu). Należy również przekazać dokumentację powykonawczą w wersji elektronicznej, edytowalnej, oraz wszelkie pliki konfiguracyjne urządzeń komunikacyjnych (adresacja, konfiguracja, hasła dostępu). Weryfikacja, odbędzie się w formie komisyjnego wgrania oprogramowania przez </w:t>
      </w:r>
      <w:r>
        <w:rPr>
          <w:rFonts w:ascii="Tahoma" w:hAnsi="Tahoma"/>
          <w:sz w:val="20"/>
          <w:szCs w:val="20"/>
        </w:rPr>
        <w:lastRenderedPageBreak/>
        <w:t>wykonawcę, przy obecności osoby wyznaczonej przez TW. Ponadto Wykonawca przekaże, na rzecz Zamawiającego, autorskie prawa majątkowe do:</w:t>
      </w:r>
    </w:p>
    <w:p w:rsidR="00B34F94" w:rsidRDefault="008133CB">
      <w:pPr>
        <w:pStyle w:val="Tekstpodstawowy"/>
        <w:numPr>
          <w:ilvl w:val="0"/>
          <w:numId w:val="7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oprogramowania na sterownik Schneider </w:t>
      </w:r>
      <w:proofErr w:type="spellStart"/>
      <w:r>
        <w:rPr>
          <w:rFonts w:ascii="Tahoma" w:hAnsi="Tahoma"/>
          <w:sz w:val="20"/>
          <w:szCs w:val="20"/>
        </w:rPr>
        <w:t>Modicon</w:t>
      </w:r>
      <w:proofErr w:type="spellEnd"/>
      <w:r>
        <w:rPr>
          <w:rFonts w:ascii="Tahoma" w:hAnsi="Tahoma"/>
          <w:sz w:val="20"/>
          <w:szCs w:val="20"/>
        </w:rPr>
        <w:t xml:space="preserve"> M340, </w:t>
      </w:r>
    </w:p>
    <w:p w:rsidR="00B34F94" w:rsidRDefault="008133CB">
      <w:pPr>
        <w:pStyle w:val="Tekstpodstawowy"/>
        <w:numPr>
          <w:ilvl w:val="0"/>
          <w:numId w:val="7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oprogramowania na panel operatorski </w:t>
      </w:r>
      <w:proofErr w:type="spellStart"/>
      <w:r>
        <w:rPr>
          <w:rFonts w:ascii="Tahoma" w:hAnsi="Tahoma"/>
          <w:sz w:val="20"/>
          <w:szCs w:val="20"/>
        </w:rPr>
        <w:t>Astraada</w:t>
      </w:r>
      <w:proofErr w:type="spellEnd"/>
      <w:r>
        <w:rPr>
          <w:rFonts w:ascii="Tahoma" w:hAnsi="Tahoma"/>
          <w:sz w:val="20"/>
          <w:szCs w:val="20"/>
        </w:rPr>
        <w:t xml:space="preserve">, </w:t>
      </w:r>
    </w:p>
    <w:p w:rsidR="00B34F94" w:rsidRDefault="008133CB">
      <w:pPr>
        <w:pStyle w:val="Tekstpodstawowy"/>
        <w:numPr>
          <w:ilvl w:val="0"/>
          <w:numId w:val="7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oprogramowania na moduł komunikacyjny GPRS, </w:t>
      </w:r>
    </w:p>
    <w:p w:rsidR="00B34F94" w:rsidRDefault="008133CB">
      <w:pPr>
        <w:pStyle w:val="Tekstpodstawowy"/>
        <w:numPr>
          <w:ilvl w:val="0"/>
          <w:numId w:val="7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oprogramowania na wizualizację na Pogotowiu Toruńskich Wodociągów Sp. z o.o., </w:t>
      </w:r>
    </w:p>
    <w:p w:rsidR="00B34F94" w:rsidRDefault="008133CB">
      <w:pPr>
        <w:pStyle w:val="Tekstpodstawowy"/>
        <w:numPr>
          <w:ilvl w:val="0"/>
          <w:numId w:val="7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oprogramowania na wizualizację dla Portalu </w:t>
      </w:r>
      <w:proofErr w:type="spellStart"/>
      <w:r>
        <w:rPr>
          <w:rFonts w:ascii="Tahoma" w:hAnsi="Tahoma"/>
          <w:sz w:val="20"/>
          <w:szCs w:val="20"/>
        </w:rPr>
        <w:t>Information</w:t>
      </w:r>
      <w:proofErr w:type="spellEnd"/>
      <w:r>
        <w:rPr>
          <w:rFonts w:ascii="Tahoma" w:hAnsi="Tahoma"/>
          <w:sz w:val="20"/>
          <w:szCs w:val="20"/>
        </w:rPr>
        <w:t xml:space="preserve"> Server, </w:t>
      </w:r>
    </w:p>
    <w:p w:rsidR="00B34F94" w:rsidRDefault="008133CB">
      <w:pPr>
        <w:pStyle w:val="Tekstpodstawowy"/>
        <w:numPr>
          <w:ilvl w:val="0"/>
          <w:numId w:val="7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oprogramowania na archiwizację danych na serwerze </w:t>
      </w:r>
      <w:proofErr w:type="spellStart"/>
      <w:r>
        <w:rPr>
          <w:rFonts w:ascii="Tahoma" w:hAnsi="Tahoma"/>
          <w:sz w:val="20"/>
          <w:szCs w:val="20"/>
        </w:rPr>
        <w:t>Historian</w:t>
      </w:r>
      <w:proofErr w:type="spellEnd"/>
      <w:r>
        <w:rPr>
          <w:rFonts w:ascii="Tahoma" w:hAnsi="Tahoma"/>
          <w:sz w:val="20"/>
          <w:szCs w:val="20"/>
        </w:rPr>
        <w:t xml:space="preserve">, </w:t>
      </w:r>
    </w:p>
    <w:p w:rsidR="00B34F94" w:rsidRDefault="008133CB">
      <w:pPr>
        <w:pStyle w:val="Tekstpodstawowy"/>
        <w:numPr>
          <w:ilvl w:val="0"/>
          <w:numId w:val="7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dokumentacji w wersji elektronicznej i edytowalnej. </w:t>
      </w:r>
    </w:p>
    <w:p w:rsidR="00B34F94" w:rsidRDefault="008133CB">
      <w:pPr>
        <w:pStyle w:val="Tekstpodstawowy"/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Adresację stacji oraz ustalenie poziomu zabezpieczeń należy wykonać w uzgodnieniu z Działem Informatyki i Automatyki (FIA) Toruńskich Wodociągów.</w:t>
      </w:r>
    </w:p>
    <w:p w:rsidR="00B34F94" w:rsidRDefault="008133CB">
      <w:pPr>
        <w:pStyle w:val="Tekstpodstawowy"/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br/>
        <w:t xml:space="preserve">Ze sterownika przepompowni musi być możliwość odczytu co najmniej poniższych sygnałów (odczyt miejscowy z panelu </w:t>
      </w:r>
      <w:proofErr w:type="spellStart"/>
      <w:r>
        <w:rPr>
          <w:rFonts w:ascii="Tahoma" w:hAnsi="Tahoma"/>
          <w:sz w:val="20"/>
          <w:szCs w:val="20"/>
        </w:rPr>
        <w:t>Astraada</w:t>
      </w:r>
      <w:proofErr w:type="spellEnd"/>
      <w:r>
        <w:rPr>
          <w:rFonts w:ascii="Tahoma" w:hAnsi="Tahoma"/>
          <w:sz w:val="20"/>
          <w:szCs w:val="20"/>
        </w:rPr>
        <w:t>, oraz zdalny - SCADA):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Przepływ ścieków chwilowy z każdego przepływomierza, 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Sumaryczna ilość przepompowanych ścieków 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Poziom ścieków minimum,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Poziom ścieków </w:t>
      </w:r>
      <w:proofErr w:type="spellStart"/>
      <w:r>
        <w:rPr>
          <w:rFonts w:ascii="Tahoma" w:hAnsi="Tahoma"/>
          <w:sz w:val="20"/>
          <w:szCs w:val="20"/>
        </w:rPr>
        <w:t>maximum</w:t>
      </w:r>
      <w:proofErr w:type="spellEnd"/>
      <w:r>
        <w:rPr>
          <w:rFonts w:ascii="Tahoma" w:hAnsi="Tahoma"/>
          <w:sz w:val="20"/>
          <w:szCs w:val="20"/>
        </w:rPr>
        <w:t>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Czas pracy pomp – dla każdej pompy osobno,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Ilość załączeń całkowita pomp – dla każdej pompy osobno,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Ilość załączeń pomp w bieżącej godzinie – dla każdej pompy osobno,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Ilość załączeń pomp w poprzedniej godzinie – dla każdej pompy osobno,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Ilość załączeń pomp w bieżącej dobie – dla każdej pompy osobno,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Ilość załączeń pomp w poprzedniej dobie – dla każdej pompy osobno,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Aktualny stan napełnienia w [m] lub [%],</w:t>
      </w:r>
    </w:p>
    <w:p w:rsidR="00B34F94" w:rsidRPr="001D0218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Informacje z analizatora sieciowego SELEC (prądy: I1, I2, I3, napięcia: V1N, V2N, V3N, oraz </w:t>
      </w:r>
      <w:proofErr w:type="spellStart"/>
      <w:r>
        <w:rPr>
          <w:rFonts w:ascii="Tahoma" w:hAnsi="Tahoma"/>
          <w:sz w:val="20"/>
          <w:szCs w:val="20"/>
        </w:rPr>
        <w:t>kW</w:t>
      </w:r>
      <w:proofErr w:type="spellEnd"/>
      <w:r>
        <w:rPr>
          <w:rFonts w:ascii="Tahoma" w:hAnsi="Tahoma"/>
          <w:sz w:val="20"/>
          <w:szCs w:val="20"/>
        </w:rPr>
        <w:t xml:space="preserve">, </w:t>
      </w:r>
      <w:proofErr w:type="spellStart"/>
      <w:r>
        <w:rPr>
          <w:rFonts w:ascii="Tahoma" w:hAnsi="Tahoma"/>
          <w:sz w:val="20"/>
          <w:szCs w:val="20"/>
        </w:rPr>
        <w:t>kVA</w:t>
      </w:r>
      <w:proofErr w:type="spellEnd"/>
      <w:r>
        <w:rPr>
          <w:rFonts w:ascii="Tahoma" w:hAnsi="Tahoma"/>
          <w:sz w:val="20"/>
          <w:szCs w:val="20"/>
        </w:rPr>
        <w:t xml:space="preserve">, </w:t>
      </w:r>
      <w:proofErr w:type="spellStart"/>
      <w:r w:rsidRPr="001D0218">
        <w:rPr>
          <w:rFonts w:ascii="Tahoma" w:hAnsi="Tahoma"/>
          <w:sz w:val="20"/>
          <w:szCs w:val="20"/>
        </w:rPr>
        <w:t>kVar</w:t>
      </w:r>
      <w:proofErr w:type="spellEnd"/>
      <w:r w:rsidRPr="001D0218">
        <w:rPr>
          <w:rFonts w:ascii="Tahoma" w:hAnsi="Tahoma"/>
          <w:sz w:val="20"/>
          <w:szCs w:val="20"/>
        </w:rPr>
        <w:t>),</w:t>
      </w:r>
    </w:p>
    <w:p w:rsidR="00312431" w:rsidRPr="001D0218" w:rsidRDefault="00312431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 w:rsidRPr="001D0218">
        <w:rPr>
          <w:rFonts w:ascii="Tahoma" w:hAnsi="Tahoma"/>
          <w:sz w:val="20"/>
          <w:szCs w:val="20"/>
        </w:rPr>
        <w:t xml:space="preserve">Wskaźnik energochłonności </w:t>
      </w:r>
      <w:proofErr w:type="spellStart"/>
      <w:r w:rsidRPr="001D0218">
        <w:rPr>
          <w:rFonts w:ascii="Tahoma" w:hAnsi="Tahoma"/>
          <w:sz w:val="20"/>
          <w:szCs w:val="20"/>
        </w:rPr>
        <w:t>kWh</w:t>
      </w:r>
      <w:proofErr w:type="spellEnd"/>
      <w:r w:rsidRPr="001D0218">
        <w:rPr>
          <w:rFonts w:ascii="Tahoma" w:hAnsi="Tahoma"/>
          <w:sz w:val="20"/>
          <w:szCs w:val="20"/>
        </w:rPr>
        <w:t>/m3 dla każdej pompy osobno,</w:t>
      </w:r>
    </w:p>
    <w:p w:rsidR="00B34F94" w:rsidRPr="001D0218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 w:rsidRPr="001D0218">
        <w:rPr>
          <w:rFonts w:ascii="Tahoma" w:hAnsi="Tahoma"/>
          <w:sz w:val="20"/>
          <w:szCs w:val="20"/>
        </w:rPr>
        <w:t>Awaria pompy – dla każdej pompy osobno,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Praca pompy – dla każdej pompy osobno,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Sygnalizacja stanu pomp (tryb automatyczny/załączenie ręczne/odstawienie),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Sygnał obecności człowieka na obiekcie,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Sygnalizacja zasilania podstawowego,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Zanik napięcia (zadziałanie układu SZR z sygnalizacją powrotu),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Sygnalizacja pracy układu awaryjnego,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Ochrona obiektu,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Ustawienie zapchania każdej z pomp (wydajność mniejsza niż ustalona przez obsługę w zakresie 0-100m3),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Ustawienie alarmu braku pracy przepompowni (zakres od 0-48h),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Ustawienie oraz podgląd zadanej nastawy poziomu spiętrzenia [%],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Ustawienie oraz podgląd zadanej nastawy poziomu załączenia pomp [%],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Ustawienie oraz podgląd zadanej nastawy poziomu wyłączenia pomp [%],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Ustawienie oraz podgląd zadanej nastawy czasu pauzy [</w:t>
      </w:r>
      <w:proofErr w:type="spellStart"/>
      <w:r>
        <w:rPr>
          <w:rFonts w:ascii="Tahoma" w:hAnsi="Tahoma"/>
          <w:sz w:val="20"/>
          <w:szCs w:val="20"/>
        </w:rPr>
        <w:t>sek</w:t>
      </w:r>
      <w:proofErr w:type="spellEnd"/>
      <w:r>
        <w:rPr>
          <w:rFonts w:ascii="Tahoma" w:hAnsi="Tahoma"/>
          <w:sz w:val="20"/>
          <w:szCs w:val="20"/>
        </w:rPr>
        <w:t>],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Ustawienie oraz podgląd zadanej nastawy czasu dobiegu [</w:t>
      </w:r>
      <w:proofErr w:type="spellStart"/>
      <w:r>
        <w:rPr>
          <w:rFonts w:ascii="Tahoma" w:hAnsi="Tahoma"/>
          <w:sz w:val="20"/>
          <w:szCs w:val="20"/>
        </w:rPr>
        <w:t>sek</w:t>
      </w:r>
      <w:proofErr w:type="spellEnd"/>
      <w:r>
        <w:rPr>
          <w:rFonts w:ascii="Tahoma" w:hAnsi="Tahoma"/>
          <w:sz w:val="20"/>
          <w:szCs w:val="20"/>
        </w:rPr>
        <w:t>],</w:t>
      </w:r>
    </w:p>
    <w:p w:rsidR="00B34F94" w:rsidRDefault="008133CB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Ustawienie oraz podgląd zadanej nastawy czasu pracy maksymalnej [</w:t>
      </w:r>
      <w:proofErr w:type="spellStart"/>
      <w:r>
        <w:rPr>
          <w:rFonts w:ascii="Tahoma" w:hAnsi="Tahoma"/>
          <w:sz w:val="20"/>
          <w:szCs w:val="20"/>
        </w:rPr>
        <w:t>sek</w:t>
      </w:r>
      <w:proofErr w:type="spellEnd"/>
      <w:r>
        <w:rPr>
          <w:rFonts w:ascii="Tahoma" w:hAnsi="Tahoma"/>
          <w:sz w:val="20"/>
          <w:szCs w:val="20"/>
        </w:rPr>
        <w:t>].</w:t>
      </w:r>
    </w:p>
    <w:p w:rsidR="00B34F94" w:rsidRDefault="008133CB">
      <w:pPr>
        <w:pStyle w:val="Tekstpodstawowy"/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 </w:t>
      </w:r>
    </w:p>
    <w:p w:rsidR="00B34F94" w:rsidRDefault="008133CB">
      <w:pPr>
        <w:pStyle w:val="Tekstpodstawowy"/>
        <w:spacing w:after="20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Dodatkowo ze sterownika przepompowni muszą zostać przesłane następujące alarmy na Pogotowie Toruńskich Wodociągów:</w:t>
      </w:r>
    </w:p>
    <w:p w:rsidR="00B34F94" w:rsidRDefault="008133CB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Alarm awarii pompy – dla każdej pompy osobno, </w:t>
      </w:r>
    </w:p>
    <w:p w:rsidR="00B34F94" w:rsidRDefault="008133CB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 xml:space="preserve">Alarm włamania, </w:t>
      </w:r>
    </w:p>
    <w:p w:rsidR="00B34F94" w:rsidRDefault="008133CB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Alarm otwartego włazu, </w:t>
      </w:r>
    </w:p>
    <w:p w:rsidR="00B34F94" w:rsidRDefault="008133CB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Alarm otwartych drzwi SZR, </w:t>
      </w:r>
    </w:p>
    <w:p w:rsidR="00B34F94" w:rsidRDefault="008133CB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Alarm zalania komory, </w:t>
      </w:r>
    </w:p>
    <w:p w:rsidR="00B34F94" w:rsidRDefault="008133CB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Alarm </w:t>
      </w:r>
      <w:proofErr w:type="spellStart"/>
      <w:r>
        <w:rPr>
          <w:rFonts w:ascii="Tahoma" w:hAnsi="Tahoma"/>
          <w:sz w:val="20"/>
          <w:szCs w:val="20"/>
        </w:rPr>
        <w:t>suchobiegu</w:t>
      </w:r>
      <w:proofErr w:type="spellEnd"/>
      <w:r>
        <w:rPr>
          <w:rFonts w:ascii="Tahoma" w:hAnsi="Tahoma"/>
          <w:sz w:val="20"/>
          <w:szCs w:val="20"/>
        </w:rPr>
        <w:t xml:space="preserve"> pompy, </w:t>
      </w:r>
    </w:p>
    <w:p w:rsidR="00B34F94" w:rsidRDefault="008133CB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Alarm o spiętrzeniu ścieków, </w:t>
      </w:r>
    </w:p>
    <w:p w:rsidR="00B34F94" w:rsidRDefault="008133CB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Alarm zapchania każdej z pomp, </w:t>
      </w:r>
    </w:p>
    <w:p w:rsidR="00B34F94" w:rsidRDefault="008133CB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Alarm o braku pracy przepompowni. </w:t>
      </w:r>
    </w:p>
    <w:p w:rsidR="00B34F94" w:rsidRDefault="00B34F94">
      <w:pPr>
        <w:pStyle w:val="Akapitzlist"/>
        <w:tabs>
          <w:tab w:val="left" w:pos="993"/>
        </w:tabs>
        <w:ind w:left="633"/>
        <w:jc w:val="both"/>
        <w:rPr>
          <w:rFonts w:cs="Arial"/>
          <w:bCs/>
          <w:iCs/>
        </w:rPr>
      </w:pPr>
    </w:p>
    <w:p w:rsidR="00B34F94" w:rsidRDefault="008133CB">
      <w:pPr>
        <w:pStyle w:val="Akapitzlist"/>
        <w:tabs>
          <w:tab w:val="left" w:pos="993"/>
        </w:tabs>
        <w:ind w:left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Arial"/>
          <w:bCs/>
          <w:iCs/>
          <w:sz w:val="20"/>
          <w:szCs w:val="20"/>
        </w:rPr>
        <w:t>Drobne zmiany w zasilaniu i sterowaniu lub oprogramowaniu sterowników i systemu monitoringu w  pogotowiu T.W. należy ująć w cenie ofertowej.</w:t>
      </w:r>
    </w:p>
    <w:p w:rsidR="00B34F94" w:rsidRDefault="00B34F94">
      <w:pPr>
        <w:rPr>
          <w:rFonts w:ascii="Tahoma" w:hAnsi="Tahoma" w:cs="Tahoma"/>
          <w:b/>
          <w:sz w:val="20"/>
          <w:szCs w:val="20"/>
        </w:rPr>
      </w:pPr>
    </w:p>
    <w:p w:rsidR="00B34F94" w:rsidRDefault="008133CB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Uwagi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Zabrania się składowania urobku z wykopów bezpośrednio po stronie nawierzchni drogi i</w:t>
      </w:r>
      <w:r w:rsidR="001D021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chodnika.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Zaplecze socjalne należy wyposażyć w przenośne toalety – szczelne zbiorniki na ścieki socjalno-bytowe.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Obciążenie każdej ze stron przyszłej umowy za potencjalne skutki napotkania na roboty nieprzewidziane uzależnione będzie od konkretnej sytuacji i ocenione będzie po jej nastąpieniu.</w:t>
      </w:r>
    </w:p>
    <w:p w:rsidR="00B34F94" w:rsidRDefault="008133CB">
      <w:pPr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Zaleca się aby Wykonawca zapoznał się ze wszystkimi warunkami lokalizacyjno-terenowymi placu budowy a także realizacyjnymi, i uwzględnił je w wypełnionym formularzu ofertowym.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Obetonowanie skrzynek armatury, włazów itp. wykonać z płyty żelbetowej grubości min 15 cm o rozmiarach 1mx1m w przypadku skrzynek (w przypadku węzłów rozmiar ustalić </w:t>
      </w:r>
      <w:r w:rsidR="001D0218">
        <w:rPr>
          <w:rFonts w:ascii="Tahoma" w:hAnsi="Tahoma" w:cs="Tahoma"/>
          <w:sz w:val="20"/>
          <w:szCs w:val="20"/>
        </w:rPr>
        <w:t>z </w:t>
      </w:r>
      <w:r>
        <w:rPr>
          <w:rFonts w:ascii="Tahoma" w:hAnsi="Tahoma" w:cs="Tahoma"/>
          <w:sz w:val="20"/>
          <w:szCs w:val="20"/>
        </w:rPr>
        <w:t>inspektorem nadzoru na budowie) oraz o rozmiarach min 1 m od krawędzi włazu (dla włazów kanalizacyjnych).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Tabliczki plastikowe do </w:t>
      </w:r>
      <w:r w:rsidRPr="00BE5067">
        <w:rPr>
          <w:rFonts w:ascii="Tahoma" w:hAnsi="Tahoma" w:cs="Tahoma"/>
          <w:sz w:val="20"/>
          <w:szCs w:val="20"/>
        </w:rPr>
        <w:t>sieci wodociągowej, z</w:t>
      </w:r>
      <w:r>
        <w:rPr>
          <w:rFonts w:ascii="Tahoma" w:hAnsi="Tahoma" w:cs="Tahoma"/>
          <w:sz w:val="20"/>
          <w:szCs w:val="20"/>
        </w:rPr>
        <w:t xml:space="preserve"> cyframi wciskanymi, przymocowane do podkładki z blachy stalowej gr. 3 mm umieszczone na słupkach stalowych o przekroju kwadratowym 40x40 mm, koloru RAL 5005, o wysokości słupka ponad teren – 1,5 m.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Rury i kształtki winny posiadać certyfikat zgodności wykonania z PN – EN 12 201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Szczegółowy zakres robót obejmuje dokumentacja projektowa wykazana w wykazie załączników w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6 niniejszego opisu przedmiotu zamówienia, która łącznie z niniejszym opisem stanowi podstawowy materiał dla wykonania wyceny robót przez wykonawcę. </w:t>
      </w:r>
    </w:p>
    <w:p w:rsidR="00B34F94" w:rsidRPr="00BE5067" w:rsidRDefault="008133CB">
      <w:pPr>
        <w:pStyle w:val="Akapitzlist"/>
        <w:numPr>
          <w:ilvl w:val="1"/>
          <w:numId w:val="1"/>
        </w:numPr>
        <w:suppressAutoHyphens w:val="0"/>
        <w:contextualSpacing/>
        <w:jc w:val="both"/>
        <w:rPr>
          <w:rFonts w:ascii="Tahoma" w:hAnsi="Tahoma" w:cs="Tahoma"/>
          <w:sz w:val="20"/>
          <w:szCs w:val="20"/>
        </w:rPr>
      </w:pPr>
      <w:r w:rsidRPr="00BE5067">
        <w:rPr>
          <w:rFonts w:ascii="Tahoma" w:hAnsi="Tahoma" w:cs="Tahoma"/>
          <w:sz w:val="20"/>
          <w:szCs w:val="20"/>
        </w:rPr>
        <w:t>Armatura na realizowanym zadaniu w zakresie danego rodzaju armatury w całości ma p</w:t>
      </w:r>
      <w:r w:rsidRPr="00BE5067">
        <w:rPr>
          <w:rFonts w:ascii="Tahoma" w:hAnsi="Tahoma" w:cs="Tahoma"/>
          <w:sz w:val="20"/>
          <w:szCs w:val="20"/>
        </w:rPr>
        <w:t>o</w:t>
      </w:r>
      <w:r w:rsidRPr="00BE5067">
        <w:rPr>
          <w:rFonts w:ascii="Tahoma" w:hAnsi="Tahoma" w:cs="Tahoma"/>
          <w:sz w:val="20"/>
          <w:szCs w:val="20"/>
        </w:rPr>
        <w:t>chodzić od jednego producenta (tzn. wszystkie zasuwy pochodzić będą od danego prod</w:t>
      </w:r>
      <w:r w:rsidRPr="00BE5067">
        <w:rPr>
          <w:rFonts w:ascii="Tahoma" w:hAnsi="Tahoma" w:cs="Tahoma"/>
          <w:sz w:val="20"/>
          <w:szCs w:val="20"/>
        </w:rPr>
        <w:t>u</w:t>
      </w:r>
      <w:r w:rsidRPr="00BE5067">
        <w:rPr>
          <w:rFonts w:ascii="Tahoma" w:hAnsi="Tahoma" w:cs="Tahoma"/>
          <w:sz w:val="20"/>
          <w:szCs w:val="20"/>
        </w:rPr>
        <w:t>centa a np. wszystkie hydranty mogą pochodzić od innego producenta).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 przystąpieniem do robót Wykonawca dostarczy Zamawiającemu atesty, certyfikaty </w:t>
      </w:r>
      <w:r w:rsidR="001D0218">
        <w:rPr>
          <w:rFonts w:ascii="Tahoma" w:hAnsi="Tahoma" w:cs="Tahoma"/>
          <w:sz w:val="20"/>
          <w:szCs w:val="20"/>
        </w:rPr>
        <w:t>i </w:t>
      </w:r>
      <w:r>
        <w:rPr>
          <w:rFonts w:ascii="Tahoma" w:hAnsi="Tahoma" w:cs="Tahoma"/>
          <w:sz w:val="20"/>
          <w:szCs w:val="20"/>
        </w:rPr>
        <w:t>deklaracje zgodności na wszelkie materiały przewidywane do wbudowania celem ich akceptacji. Uzyskanie w/w akceptacji stanowi załącznik dopuszczający materiały do wbudowania przy realizacji przedmiotu zamówienia.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W przypadku wystąpienia w projektach budowlanych i/lub budowlano – wykonawczych, STWIOR nazw własnych materiałów i nazw producentów, znaków towarowych lub podania niektórych charakterystycznych dla producenta wymiarów, należy je rozumieć jako określenie standardów. Nie są one wiążące i można dostarczyć elementy równoważne, których charakterystyka nie jest gorsza niż parametry urządzeń czy materiałów podanych w opracowaniach projektowych. Dopuszcza się zastosowanie materiałów i urządzeń innych producentów o parametrach równoważnych lub wyższych niż przewiduje projekt. Wszelkie koszty wynikające z różnic pomiędzy urządzeniami zaprojektowanymi a zaoferowanymi ponosi Wykonawca. Zwrot „równoważne” oznacza możliwość uzyskania efektu założonego przez Zamawiającego za pomocą innych rozwiązań technicznych.</w:t>
      </w:r>
    </w:p>
    <w:p w:rsidR="00B34F94" w:rsidRDefault="00B34F94">
      <w:pPr>
        <w:jc w:val="both"/>
        <w:rPr>
          <w:rFonts w:ascii="Tahoma" w:hAnsi="Tahoma" w:cs="Tahoma"/>
          <w:sz w:val="20"/>
          <w:szCs w:val="20"/>
        </w:rPr>
      </w:pPr>
    </w:p>
    <w:p w:rsidR="00B34F94" w:rsidRDefault="008133CB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załączników</w:t>
      </w:r>
    </w:p>
    <w:p w:rsidR="00B34F94" w:rsidRDefault="00B34F94">
      <w:pPr>
        <w:rPr>
          <w:rFonts w:ascii="Tahoma" w:hAnsi="Tahoma" w:cs="Tahoma"/>
          <w:b/>
          <w:sz w:val="16"/>
          <w:szCs w:val="16"/>
        </w:rPr>
      </w:pPr>
    </w:p>
    <w:p w:rsidR="00B34F94" w:rsidRDefault="008133C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Załącznikami do niniejszego opisu przedmiotu zamówienia jest dokumentacja projektowa:</w:t>
      </w:r>
    </w:p>
    <w:p w:rsidR="00B34F94" w:rsidRDefault="008133C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lastRenderedPageBreak/>
        <w:t>Dokumentacja techniczna  opracowana przez Wielobranżowe Przedsiębiorstwo Usługowo-Produkcyjne MELBUD S.C</w:t>
      </w:r>
      <w:r>
        <w:rPr>
          <w:rFonts w:ascii="Tahoma" w:hAnsi="Tahoma" w:cs="Tahoma"/>
          <w:sz w:val="20"/>
          <w:szCs w:val="20"/>
        </w:rPr>
        <w:t xml:space="preserve"> z Torunia</w:t>
      </w:r>
    </w:p>
    <w:p w:rsidR="00B34F94" w:rsidRDefault="008133CB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Budowa przewodu tłocznego kanalizacji sanitarnej wraz z rozbudową przepompowni ścieków PS-9 przy ul. Działowej w Toruniu</w:t>
      </w:r>
      <w:r>
        <w:rPr>
          <w:rFonts w:ascii="Tahoma" w:hAnsi="Tahoma" w:cs="Tahoma"/>
          <w:bCs/>
          <w:iCs/>
          <w:sz w:val="20"/>
          <w:szCs w:val="20"/>
        </w:rPr>
        <w:t xml:space="preserve"> (Zakres zgłoszenia do Prezydenta Miasta Torunia)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Projekt zagospodarowania terenu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Projekt architektoniczno – budowlany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Załączniki projektu budowlanego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Projekt techniczny branży sanitarnej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Projekt wykonawczy branży sanitarnej – przepompownia PS-9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Projekt wykonawczy branży sanitarnej – przewód tłoczny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Projekt techniczny branży elektrycznej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Projekt wykonawczy branży elektrycznej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Dokumentacja badań podłoża gruntowego i opinia geotechniczna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Czasowa organizacja ruchu drogowego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Inwentaryzacja dendrologiczna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Szczegółowa Specyfikacja techniczna wykonania i odbioru robót – przewód tłoczny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Szczegółowa Specyfikacja techniczna wykonania i odbioru robót – przepompownia ścieków</w:t>
      </w:r>
    </w:p>
    <w:p w:rsidR="00B34F94" w:rsidRDefault="00B34F94">
      <w:pPr>
        <w:jc w:val="both"/>
        <w:rPr>
          <w:rFonts w:ascii="Tahoma" w:hAnsi="Tahoma" w:cs="Tahoma"/>
          <w:bCs/>
          <w:iCs/>
          <w:sz w:val="20"/>
          <w:szCs w:val="20"/>
        </w:rPr>
      </w:pPr>
    </w:p>
    <w:p w:rsidR="00B34F94" w:rsidRDefault="008133CB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Budowa kanalizacji sanitarnej grawitacyjnej DN500 w pasie drogowym drogi krajowej nr 15</w:t>
      </w:r>
      <w:r>
        <w:rPr>
          <w:rFonts w:ascii="Tahoma" w:hAnsi="Tahoma" w:cs="Tahoma"/>
          <w:bCs/>
          <w:iCs/>
          <w:sz w:val="20"/>
          <w:szCs w:val="20"/>
        </w:rPr>
        <w:t xml:space="preserve"> (Zakres 36m kanalizacji sanitarnej grawitacyjnej podlegający zgłoszeniu do Wojewody Kujawsko Pomorskiego)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Projekt zagospodarowania terenu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Projekt architektoniczno budowlany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Załączniki projektu budowlanego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Projekt techniczny branży sanitarnej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Projekt wykonawczy branży sanitarnej</w:t>
      </w:r>
    </w:p>
    <w:p w:rsidR="00B34F94" w:rsidRDefault="00B34F94">
      <w:pPr>
        <w:pStyle w:val="Akapitzlist"/>
        <w:ind w:left="1287"/>
        <w:jc w:val="both"/>
        <w:rPr>
          <w:rFonts w:ascii="Tahoma" w:hAnsi="Tahoma" w:cs="Tahoma"/>
          <w:bCs/>
          <w:iCs/>
          <w:sz w:val="20"/>
          <w:szCs w:val="20"/>
        </w:rPr>
      </w:pPr>
    </w:p>
    <w:p w:rsidR="00B34F94" w:rsidRDefault="00B34F94">
      <w:pPr>
        <w:pStyle w:val="Akapitzlist"/>
        <w:ind w:left="567"/>
        <w:jc w:val="both"/>
        <w:rPr>
          <w:rFonts w:ascii="Tahoma" w:hAnsi="Tahoma" w:cs="Tahoma"/>
          <w:bCs/>
          <w:iCs/>
          <w:sz w:val="20"/>
          <w:szCs w:val="20"/>
        </w:rPr>
      </w:pPr>
    </w:p>
    <w:p w:rsidR="00B34F94" w:rsidRDefault="008133CB">
      <w:p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Oryginały dokumentacji znajdują się do wglądu w siedzibie Zamawiającego przy ul. Rybaki 31/35, Wydział Inwestycji i Remontów i stanowią łącznie z niniejszym opisem podstawowy materiał do wykonania wyceny robót przez Wykonawcę.</w:t>
      </w:r>
    </w:p>
    <w:sectPr w:rsidR="00B34F94" w:rsidSect="00B34F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EC0" w:rsidRDefault="00E64EC0" w:rsidP="00B34F94">
      <w:r>
        <w:separator/>
      </w:r>
    </w:p>
  </w:endnote>
  <w:endnote w:type="continuationSeparator" w:id="0">
    <w:p w:rsidR="00E64EC0" w:rsidRDefault="00E64EC0" w:rsidP="00B3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913619"/>
      <w:docPartObj>
        <w:docPartGallery w:val="Page Numbers (Bottom of Page)"/>
        <w:docPartUnique/>
      </w:docPartObj>
    </w:sdtPr>
    <w:sdtContent>
      <w:p w:rsidR="00B03BDE" w:rsidRDefault="00CB7363">
        <w:pPr>
          <w:pStyle w:val="Footer"/>
          <w:jc w:val="right"/>
        </w:pPr>
        <w:r>
          <w:rPr>
            <w:rFonts w:ascii="Tahoma" w:hAnsi="Tahoma" w:cs="Tahoma"/>
            <w:sz w:val="16"/>
            <w:szCs w:val="16"/>
          </w:rPr>
          <w:fldChar w:fldCharType="begin"/>
        </w:r>
        <w:r w:rsidR="00B03BDE">
          <w:rPr>
            <w:rFonts w:ascii="Tahoma" w:hAnsi="Tahoma" w:cs="Tahoma"/>
            <w:sz w:val="16"/>
            <w:szCs w:val="16"/>
          </w:rPr>
          <w:instrText>PAGE</w:instrText>
        </w:r>
        <w:r>
          <w:rPr>
            <w:rFonts w:ascii="Tahoma" w:hAnsi="Tahoma" w:cs="Tahoma"/>
            <w:sz w:val="16"/>
            <w:szCs w:val="16"/>
          </w:rPr>
          <w:fldChar w:fldCharType="separate"/>
        </w:r>
        <w:r w:rsidR="001018C1">
          <w:rPr>
            <w:rFonts w:ascii="Tahoma" w:hAnsi="Tahoma" w:cs="Tahoma"/>
            <w:noProof/>
            <w:sz w:val="16"/>
            <w:szCs w:val="16"/>
          </w:rPr>
          <w:t>1</w:t>
        </w:r>
        <w:r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B03BDE" w:rsidRDefault="00B03BDE">
    <w:pPr>
      <w:pStyle w:val="Footer"/>
      <w:pBdr>
        <w:top w:val="single" w:sz="4" w:space="1" w:color="000000"/>
      </w:pBdr>
      <w:rPr>
        <w:rFonts w:ascii="Tahoma" w:hAnsi="Tahoma" w:cs="Tahoma"/>
        <w:sz w:val="6"/>
        <w:szCs w:val="6"/>
      </w:rPr>
    </w:pPr>
  </w:p>
  <w:p w:rsidR="00B03BDE" w:rsidRDefault="00B03BDE">
    <w:pPr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Modernizacja przepompowni ścieków sanitarnych PS-9 wraz z budową przewodu tłocznego kanalizacji sanitarnej dla przepompowni ścieków PS-9 przy ul. Działowej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EC0" w:rsidRDefault="00E64EC0" w:rsidP="00B34F94">
      <w:r>
        <w:separator/>
      </w:r>
    </w:p>
  </w:footnote>
  <w:footnote w:type="continuationSeparator" w:id="0">
    <w:p w:rsidR="00E64EC0" w:rsidRDefault="00E64EC0" w:rsidP="00B34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DE" w:rsidRDefault="00B03BDE">
    <w:pPr>
      <w:pStyle w:val="Head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 nr 2 do SIWZ - Opis przedmiotu zamówienia</w:t>
    </w:r>
  </w:p>
  <w:p w:rsidR="00B03BDE" w:rsidRDefault="00B03BDE">
    <w:pPr>
      <w:pStyle w:val="Head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157"/>
    <w:multiLevelType w:val="multilevel"/>
    <w:tmpl w:val="49B8B02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494958"/>
    <w:multiLevelType w:val="multilevel"/>
    <w:tmpl w:val="D53CF2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0C750FB7"/>
    <w:multiLevelType w:val="multilevel"/>
    <w:tmpl w:val="1A442BE8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0D855D64"/>
    <w:multiLevelType w:val="multilevel"/>
    <w:tmpl w:val="18F4A0BE"/>
    <w:lvl w:ilvl="0">
      <w:start w:val="1"/>
      <w:numFmt w:val="lowerLetter"/>
      <w:lvlText w:val="%1)"/>
      <w:lvlJc w:val="left"/>
      <w:pPr>
        <w:tabs>
          <w:tab w:val="num" w:pos="0"/>
        </w:tabs>
        <w:ind w:left="5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5" w:hanging="180"/>
      </w:pPr>
    </w:lvl>
  </w:abstractNum>
  <w:abstractNum w:abstractNumId="4">
    <w:nsid w:val="121A24B2"/>
    <w:multiLevelType w:val="multilevel"/>
    <w:tmpl w:val="0914C9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138918F5"/>
    <w:multiLevelType w:val="multilevel"/>
    <w:tmpl w:val="4A7AAF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>
    <w:nsid w:val="265D6F15"/>
    <w:multiLevelType w:val="multilevel"/>
    <w:tmpl w:val="7D56A97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>
    <w:nsid w:val="283663AF"/>
    <w:multiLevelType w:val="multilevel"/>
    <w:tmpl w:val="0D76B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9E56E5D"/>
    <w:multiLevelType w:val="multilevel"/>
    <w:tmpl w:val="7DFCCDC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nsid w:val="334A57CB"/>
    <w:multiLevelType w:val="hybridMultilevel"/>
    <w:tmpl w:val="7F52E8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98C7FED"/>
    <w:multiLevelType w:val="multilevel"/>
    <w:tmpl w:val="055E6072"/>
    <w:lvl w:ilvl="0">
      <w:start w:val="1"/>
      <w:numFmt w:val="upperRoman"/>
      <w:pStyle w:val="Tytu"/>
      <w:lvlText w:val="%1."/>
      <w:lvlJc w:val="righ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3F80FE8"/>
    <w:multiLevelType w:val="hybridMultilevel"/>
    <w:tmpl w:val="B10A60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F84FEC"/>
    <w:multiLevelType w:val="multilevel"/>
    <w:tmpl w:val="9AE842C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>
    <w:nsid w:val="6912367C"/>
    <w:multiLevelType w:val="hybridMultilevel"/>
    <w:tmpl w:val="02B64246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050723A"/>
    <w:multiLevelType w:val="multilevel"/>
    <w:tmpl w:val="DEAE5598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5">
    <w:nsid w:val="7409415E"/>
    <w:multiLevelType w:val="multilevel"/>
    <w:tmpl w:val="D158D2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6">
    <w:nsid w:val="7DE05A52"/>
    <w:multiLevelType w:val="multilevel"/>
    <w:tmpl w:val="786A148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6"/>
  </w:num>
  <w:num w:numId="5">
    <w:abstractNumId w:val="1"/>
  </w:num>
  <w:num w:numId="6">
    <w:abstractNumId w:val="12"/>
  </w:num>
  <w:num w:numId="7">
    <w:abstractNumId w:val="4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4"/>
  </w:num>
  <w:num w:numId="13">
    <w:abstractNumId w:val="0"/>
  </w:num>
  <w:num w:numId="14">
    <w:abstractNumId w:val="7"/>
  </w:num>
  <w:num w:numId="15">
    <w:abstractNumId w:val="11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F94"/>
    <w:rsid w:val="000B562F"/>
    <w:rsid w:val="001018C1"/>
    <w:rsid w:val="0019358D"/>
    <w:rsid w:val="001D0218"/>
    <w:rsid w:val="00312431"/>
    <w:rsid w:val="00345E96"/>
    <w:rsid w:val="003874B3"/>
    <w:rsid w:val="003B43BC"/>
    <w:rsid w:val="003C386F"/>
    <w:rsid w:val="00466B2F"/>
    <w:rsid w:val="004F18C1"/>
    <w:rsid w:val="00657747"/>
    <w:rsid w:val="00670937"/>
    <w:rsid w:val="006F2099"/>
    <w:rsid w:val="00722C94"/>
    <w:rsid w:val="0077688F"/>
    <w:rsid w:val="008133CB"/>
    <w:rsid w:val="008C723F"/>
    <w:rsid w:val="009253FC"/>
    <w:rsid w:val="0094137A"/>
    <w:rsid w:val="009628A8"/>
    <w:rsid w:val="00B03BDE"/>
    <w:rsid w:val="00B34F94"/>
    <w:rsid w:val="00BD6F02"/>
    <w:rsid w:val="00BE5067"/>
    <w:rsid w:val="00C84D8D"/>
    <w:rsid w:val="00CB7363"/>
    <w:rsid w:val="00DC4C69"/>
    <w:rsid w:val="00DD7429"/>
    <w:rsid w:val="00E46BA0"/>
    <w:rsid w:val="00E64EC0"/>
    <w:rsid w:val="00F6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017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zeinternetowe">
    <w:name w:val="Łącze internetowe"/>
    <w:basedOn w:val="Domylnaczcionkaakapitu"/>
    <w:rsid w:val="0042397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2DF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8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2DFF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DFF"/>
    <w:rPr>
      <w:rFonts w:eastAsia="Times New Roman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B97D2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StandardowyverdanaZnak">
    <w:name w:val="Standardowy verdana Znak"/>
    <w:link w:val="Standardowyverdana"/>
    <w:qFormat/>
    <w:rsid w:val="004C173E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C5767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1261B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017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OpisZnak">
    <w:name w:val="Opis Znak"/>
    <w:link w:val="Opis"/>
    <w:qFormat/>
    <w:rsid w:val="00017CA8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uiPriority w:val="99"/>
    <w:semiHidden/>
    <w:qFormat/>
    <w:rsid w:val="00990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414CE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66B1F"/>
    <w:rPr>
      <w:vertAlign w:val="superscript"/>
    </w:rPr>
  </w:style>
  <w:style w:type="character" w:customStyle="1" w:styleId="WW8Num10z0">
    <w:name w:val="WW8Num10z0"/>
    <w:qFormat/>
    <w:rsid w:val="00414CEB"/>
    <w:rPr>
      <w:rFonts w:ascii="Wingdings" w:hAnsi="Wingdings" w:cs="Arial"/>
    </w:rPr>
  </w:style>
  <w:style w:type="character" w:customStyle="1" w:styleId="WW8Num8z0">
    <w:name w:val="WW8Num8z0"/>
    <w:qFormat/>
    <w:rsid w:val="00414CEB"/>
    <w:rPr>
      <w:rFonts w:ascii="Wingdings" w:hAnsi="Wingdings" w:cs="Wingdings"/>
    </w:rPr>
  </w:style>
  <w:style w:type="character" w:customStyle="1" w:styleId="Znakiwypunktowania">
    <w:name w:val="Znaki wypunktowania"/>
    <w:qFormat/>
    <w:rsid w:val="00414CEB"/>
    <w:rPr>
      <w:rFonts w:ascii="OpenSymbol" w:eastAsia="OpenSymbol" w:hAnsi="OpenSymbol" w:cs="OpenSymbol"/>
    </w:rPr>
  </w:style>
  <w:style w:type="character" w:customStyle="1" w:styleId="StopkaZnak1">
    <w:name w:val="Stopka Znak1"/>
    <w:basedOn w:val="Domylnaczcionkaakapitu"/>
    <w:link w:val="Footer"/>
    <w:uiPriority w:val="99"/>
    <w:semiHidden/>
    <w:qFormat/>
    <w:rsid w:val="00B66D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link w:val="EndnoteText"/>
    <w:uiPriority w:val="99"/>
    <w:semiHidden/>
    <w:qFormat/>
    <w:rsid w:val="00166B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B34F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23971"/>
    <w:pPr>
      <w:spacing w:after="120"/>
    </w:pPr>
  </w:style>
  <w:style w:type="paragraph" w:styleId="Lista">
    <w:name w:val="List"/>
    <w:basedOn w:val="Tekstpodstawowy"/>
    <w:rsid w:val="00414CEB"/>
    <w:rPr>
      <w:rFonts w:cs="Arial"/>
    </w:rPr>
  </w:style>
  <w:style w:type="paragraph" w:customStyle="1" w:styleId="Caption">
    <w:name w:val="Caption"/>
    <w:basedOn w:val="Normalny"/>
    <w:qFormat/>
    <w:rsid w:val="00414CE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14CE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14CEB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6D78F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14CEB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82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82D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DFF"/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ny"/>
    <w:link w:val="StopkaZnak1"/>
    <w:uiPriority w:val="99"/>
    <w:semiHidden/>
    <w:unhideWhenUsed/>
    <w:rsid w:val="00B66D95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97D2D"/>
    <w:pPr>
      <w:keepNext/>
      <w:numPr>
        <w:numId w:val="2"/>
      </w:numPr>
      <w:tabs>
        <w:tab w:val="right" w:pos="567"/>
        <w:tab w:val="right" w:pos="9354"/>
      </w:tabs>
      <w:spacing w:before="240" w:after="120" w:line="360" w:lineRule="auto"/>
      <w:ind w:left="714" w:right="567" w:hanging="357"/>
      <w:jc w:val="both"/>
    </w:pPr>
    <w:rPr>
      <w:bCs/>
      <w:lang w:eastAsia="ar-SA"/>
    </w:rPr>
  </w:style>
  <w:style w:type="paragraph" w:customStyle="1" w:styleId="Default">
    <w:name w:val="Default"/>
    <w:qFormat/>
    <w:rsid w:val="00B97D2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verdana">
    <w:name w:val="Standardowy verdana"/>
    <w:basedOn w:val="Normalny"/>
    <w:link w:val="StandardowyverdanaZnak"/>
    <w:qFormat/>
    <w:rsid w:val="004C173E"/>
    <w:pPr>
      <w:tabs>
        <w:tab w:val="left" w:pos="567"/>
      </w:tabs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C5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qFormat/>
    <w:rsid w:val="00E1261B"/>
    <w:pPr>
      <w:spacing w:after="120"/>
    </w:pPr>
    <w:rPr>
      <w:rFonts w:ascii="Arial" w:hAnsi="Arial" w:cs="Arial"/>
      <w:sz w:val="16"/>
      <w:szCs w:val="16"/>
    </w:rPr>
  </w:style>
  <w:style w:type="paragraph" w:customStyle="1" w:styleId="Opis">
    <w:name w:val="Opis"/>
    <w:basedOn w:val="Normalny"/>
    <w:link w:val="OpisZnak"/>
    <w:qFormat/>
    <w:rsid w:val="00017CA8"/>
    <w:pPr>
      <w:spacing w:line="360" w:lineRule="auto"/>
      <w:jc w:val="both"/>
      <w:textAlignment w:val="baseline"/>
    </w:pPr>
    <w:rPr>
      <w:rFonts w:ascii="Tahoma" w:hAnsi="Tahoma"/>
      <w:sz w:val="20"/>
      <w:szCs w:val="20"/>
    </w:rPr>
  </w:style>
  <w:style w:type="paragraph" w:customStyle="1" w:styleId="OPIS0">
    <w:name w:val="OPIS"/>
    <w:qFormat/>
    <w:rsid w:val="00017CA8"/>
    <w:pPr>
      <w:spacing w:before="60" w:line="360" w:lineRule="auto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EndnoteText">
    <w:name w:val="Endnote Text"/>
    <w:basedOn w:val="Normalny"/>
    <w:link w:val="TekstprzypisukocowegoZnak1"/>
    <w:uiPriority w:val="99"/>
    <w:semiHidden/>
    <w:unhideWhenUsed/>
    <w:rsid w:val="00166B1F"/>
    <w:rPr>
      <w:sz w:val="20"/>
      <w:szCs w:val="20"/>
    </w:rPr>
  </w:style>
  <w:style w:type="paragraph" w:customStyle="1" w:styleId="mjtekstpodstawowyZnak">
    <w:name w:val="mój tekst podstawowy Znak"/>
    <w:basedOn w:val="Normalny"/>
    <w:qFormat/>
    <w:rsid w:val="00253876"/>
    <w:pPr>
      <w:jc w:val="both"/>
    </w:pPr>
    <w:rPr>
      <w:rFonts w:ascii="Tahoma" w:hAnsi="Tahoma"/>
      <w:szCs w:val="20"/>
    </w:rPr>
  </w:style>
  <w:style w:type="numbering" w:customStyle="1" w:styleId="WW8Num10">
    <w:name w:val="WW8Num10"/>
    <w:qFormat/>
    <w:rsid w:val="00414CEB"/>
  </w:style>
  <w:style w:type="numbering" w:customStyle="1" w:styleId="WW8Num8">
    <w:name w:val="WW8Num8"/>
    <w:qFormat/>
    <w:rsid w:val="00414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18A43-657C-45A4-BE79-84688F95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3462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24188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szczepańska</dc:creator>
  <dc:description/>
  <cp:lastModifiedBy>Magda Jarząbkowska</cp:lastModifiedBy>
  <cp:revision>25</cp:revision>
  <cp:lastPrinted>2023-07-24T09:19:00Z</cp:lastPrinted>
  <dcterms:created xsi:type="dcterms:W3CDTF">2024-08-16T07:45:00Z</dcterms:created>
  <dcterms:modified xsi:type="dcterms:W3CDTF">2024-09-03T09:08:00Z</dcterms:modified>
  <dc:language>pl-PL</dc:language>
</cp:coreProperties>
</file>