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381D1545" w:rsidR="0021567A" w:rsidRPr="0021567A" w:rsidRDefault="00A644F7" w:rsidP="00A644F7">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dostaw</w:t>
      </w:r>
    </w:p>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78F45397" w:rsidR="00447968" w:rsidRPr="006723BE" w:rsidRDefault="00F7030D" w:rsidP="00447968">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r w:rsidRPr="006723BE">
        <w:rPr>
          <w:rFonts w:ascii="Open Sans" w:hAnsi="Open Sans" w:cstheme="minorHAnsi"/>
          <w:color w:val="000000" w:themeColor="text1"/>
          <w:sz w:val="20"/>
          <w:szCs w:val="20"/>
        </w:rPr>
        <w:t>pn:</w:t>
      </w:r>
      <w:bookmarkStart w:id="1" w:name="_Hlk126926511"/>
      <w:r w:rsidR="00AD6066" w:rsidRPr="006723BE">
        <w:rPr>
          <w:rFonts w:ascii="Open Sans" w:hAnsi="Open Sans" w:cstheme="minorHAnsi"/>
          <w:color w:val="000000" w:themeColor="text1"/>
          <w:sz w:val="20"/>
          <w:szCs w:val="20"/>
        </w:rPr>
        <w:t xml:space="preserve"> </w:t>
      </w:r>
      <w:r w:rsidR="005D648F" w:rsidRPr="005D648F">
        <w:rPr>
          <w:rFonts w:ascii="Open Sans" w:hAnsi="Open Sans" w:cs="Open Sans"/>
          <w:i/>
          <w:iCs/>
          <w:color w:val="000000" w:themeColor="text1"/>
          <w:sz w:val="20"/>
          <w:szCs w:val="20"/>
          <w:u w:val="single"/>
        </w:rPr>
        <w:t xml:space="preserve">„ Dostawa - zakup nowej kosiarki samojezdnej </w:t>
      </w:r>
      <w:r w:rsidR="005D648F">
        <w:rPr>
          <w:rFonts w:ascii="Open Sans" w:hAnsi="Open Sans" w:cs="Open Sans"/>
          <w:i/>
          <w:iCs/>
          <w:color w:val="000000" w:themeColor="text1"/>
          <w:sz w:val="20"/>
          <w:szCs w:val="20"/>
          <w:u w:val="single"/>
        </w:rPr>
        <w:t>–</w:t>
      </w:r>
      <w:r w:rsidR="005D648F" w:rsidRPr="005D648F">
        <w:rPr>
          <w:rFonts w:ascii="Open Sans" w:hAnsi="Open Sans" w:cs="Open Sans"/>
          <w:i/>
          <w:iCs/>
          <w:color w:val="000000" w:themeColor="text1"/>
          <w:sz w:val="20"/>
          <w:szCs w:val="20"/>
          <w:u w:val="single"/>
        </w:rPr>
        <w:t xml:space="preserve"> samowyładowczej</w:t>
      </w:r>
      <w:r w:rsidR="005D648F">
        <w:rPr>
          <w:rFonts w:ascii="Open Sans" w:hAnsi="Open Sans" w:cs="Open Sans"/>
          <w:i/>
          <w:iCs/>
          <w:color w:val="000000" w:themeColor="text1"/>
          <w:sz w:val="20"/>
          <w:szCs w:val="20"/>
          <w:u w:val="single"/>
        </w:rPr>
        <w:t xml:space="preserve">”. </w:t>
      </w:r>
      <w:r w:rsidR="005D648F" w:rsidRPr="005D648F">
        <w:rPr>
          <w:rFonts w:ascii="Open Sans" w:hAnsi="Open Sans" w:cs="Open Sans"/>
          <w:i/>
          <w:iCs/>
          <w:color w:val="000000" w:themeColor="text1"/>
          <w:sz w:val="20"/>
          <w:szCs w:val="20"/>
          <w:u w:val="single"/>
        </w:rPr>
        <w:t xml:space="preserve"> </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Pzp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poz. 1497 z  późn.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2"/>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składane w zakresie art. 108 ust. 1 pkt 5 ustawy Pzp</w:t>
      </w:r>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093EEE99" w14:textId="49EF04C3" w:rsidR="00BB68E3" w:rsidRPr="006723BE" w:rsidRDefault="00795869" w:rsidP="00447968">
      <w:pPr>
        <w:spacing w:line="360" w:lineRule="auto"/>
        <w:ind w:right="-427"/>
        <w:jc w:val="both"/>
        <w:rPr>
          <w:rFonts w:ascii="Open Sans" w:hAnsi="Open Sans" w:cs="Open Sans"/>
          <w:i/>
          <w:iCs/>
          <w:color w:val="000000" w:themeColor="text1"/>
          <w:sz w:val="20"/>
          <w:szCs w:val="20"/>
          <w:u w:val="single"/>
        </w:rPr>
      </w:pPr>
      <w:bookmarkStart w:id="3" w:name="_Hlk107386637"/>
      <w:r w:rsidRPr="00795869">
        <w:rPr>
          <w:rFonts w:ascii="Open Sans" w:hAnsi="Open Sans" w:cs="Open Sans"/>
          <w:i/>
          <w:iCs/>
          <w:color w:val="000000" w:themeColor="text1"/>
          <w:sz w:val="20"/>
          <w:szCs w:val="20"/>
          <w:u w:val="single"/>
        </w:rPr>
        <w:t xml:space="preserve">„ Dostawa - zakup nowej kosiarki samojezdnej </w:t>
      </w:r>
      <w:r>
        <w:rPr>
          <w:rFonts w:ascii="Open Sans" w:hAnsi="Open Sans" w:cs="Open Sans"/>
          <w:i/>
          <w:iCs/>
          <w:color w:val="000000" w:themeColor="text1"/>
          <w:sz w:val="20"/>
          <w:szCs w:val="20"/>
          <w:u w:val="single"/>
        </w:rPr>
        <w:t>–</w:t>
      </w:r>
      <w:r w:rsidRPr="00795869">
        <w:rPr>
          <w:rFonts w:ascii="Open Sans" w:hAnsi="Open Sans" w:cs="Open Sans"/>
          <w:i/>
          <w:iCs/>
          <w:color w:val="000000" w:themeColor="text1"/>
          <w:sz w:val="20"/>
          <w:szCs w:val="20"/>
          <w:u w:val="single"/>
        </w:rPr>
        <w:t xml:space="preserve"> samowyładowcze</w:t>
      </w:r>
      <w:r>
        <w:rPr>
          <w:rFonts w:ascii="Open Sans" w:hAnsi="Open Sans" w:cs="Open Sans"/>
          <w:i/>
          <w:iCs/>
          <w:color w:val="000000" w:themeColor="text1"/>
          <w:sz w:val="20"/>
          <w:szCs w:val="20"/>
          <w:u w:val="single"/>
        </w:rPr>
        <w:t xml:space="preserve">”. </w:t>
      </w:r>
      <w:r w:rsidRPr="00795869">
        <w:rPr>
          <w:rFonts w:ascii="Open Sans" w:hAnsi="Open Sans" w:cs="Open Sans"/>
          <w:i/>
          <w:iCs/>
          <w:color w:val="000000" w:themeColor="text1"/>
          <w:sz w:val="20"/>
          <w:szCs w:val="20"/>
          <w:u w:val="single"/>
        </w:rPr>
        <w:t xml:space="preserve"> </w:t>
      </w:r>
      <w:r w:rsidR="00787C02" w:rsidRPr="00787C02">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09CF0CAD" w:rsidR="007C0426" w:rsidRPr="00E073C1" w:rsidRDefault="0097780D" w:rsidP="007C0426">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Ubiegając się o udzielenie zamówienia publicznego w postępowaniu pn</w:t>
      </w:r>
      <w:r w:rsidRPr="00E073C1">
        <w:rPr>
          <w:rFonts w:ascii="Open Sans" w:hAnsi="Open Sans" w:cs="Open Sans"/>
          <w:i/>
          <w:iCs/>
          <w:color w:val="000000" w:themeColor="text1"/>
          <w:sz w:val="20"/>
          <w:szCs w:val="20"/>
          <w:u w:val="single"/>
        </w:rPr>
        <w:t xml:space="preserve">: </w:t>
      </w:r>
      <w:r w:rsidR="00E84240" w:rsidRPr="00E073C1">
        <w:rPr>
          <w:rFonts w:ascii="Open Sans" w:hAnsi="Open Sans" w:cs="Open Sans"/>
          <w:i/>
          <w:iCs/>
          <w:color w:val="000000" w:themeColor="text1"/>
          <w:sz w:val="20"/>
          <w:szCs w:val="20"/>
          <w:u w:val="single"/>
        </w:rPr>
        <w:t xml:space="preserve"> </w:t>
      </w:r>
      <w:r w:rsidR="00D22C1F" w:rsidRPr="00D22C1F">
        <w:rPr>
          <w:rFonts w:ascii="Open Sans" w:hAnsi="Open Sans" w:cs="Open Sans"/>
          <w:i/>
          <w:iCs/>
          <w:color w:val="000000" w:themeColor="text1"/>
          <w:sz w:val="20"/>
          <w:szCs w:val="20"/>
          <w:u w:val="single"/>
        </w:rPr>
        <w:t>„ Dostawa - zakup nowej kosiarki samojezdnej - samowyładowczej</w:t>
      </w:r>
      <w:r w:rsidR="00787C02" w:rsidRPr="00787C02">
        <w:rPr>
          <w:rFonts w:ascii="Open Sans" w:hAnsi="Open Sans" w:cs="Open Sans"/>
          <w:i/>
          <w:iC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działając w imieniu …………, z siedzibą </w:t>
      </w:r>
      <w:r w:rsidR="00D22C1F">
        <w:rPr>
          <w:rFonts w:ascii="Open Sans" w:hAnsi="Open Sans" w:cs="Open Sans"/>
          <w:color w:val="000000" w:themeColor="text1"/>
          <w:sz w:val="21"/>
          <w:szCs w:val="21"/>
          <w:lang w:eastAsia="ar-SA"/>
        </w:rPr>
        <w:br/>
      </w:r>
      <w:r w:rsidRPr="00E073C1">
        <w:rPr>
          <w:rFonts w:ascii="Open Sans" w:hAnsi="Open Sans" w:cs="Open Sans"/>
          <w:color w:val="000000" w:themeColor="text1"/>
          <w:sz w:val="21"/>
          <w:szCs w:val="21"/>
          <w:lang w:eastAsia="ar-SA"/>
        </w:rPr>
        <w:t>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późn.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211EA82" w14:textId="77777777" w:rsidR="00D22C1F" w:rsidRDefault="00D22C1F" w:rsidP="0097780D">
      <w:pPr>
        <w:pStyle w:val="Nagwek"/>
        <w:jc w:val="right"/>
        <w:rPr>
          <w:rFonts w:ascii="Open Sans" w:hAnsi="Open Sans" w:cs="Open Sans"/>
          <w:bCs/>
          <w:sz w:val="16"/>
          <w:szCs w:val="16"/>
          <w:u w:val="single"/>
        </w:rPr>
      </w:pPr>
    </w:p>
    <w:p w14:paraId="27804A09" w14:textId="77777777" w:rsidR="00D22C1F" w:rsidRDefault="00D22C1F" w:rsidP="0097780D">
      <w:pPr>
        <w:pStyle w:val="Nagwek"/>
        <w:jc w:val="right"/>
        <w:rPr>
          <w:rFonts w:ascii="Open Sans" w:hAnsi="Open Sans" w:cs="Open Sans"/>
          <w:bCs/>
          <w:sz w:val="16"/>
          <w:szCs w:val="16"/>
          <w:u w:val="single"/>
        </w:rPr>
      </w:pPr>
    </w:p>
    <w:p w14:paraId="7AE587D1" w14:textId="77777777" w:rsidR="00D22C1F" w:rsidRDefault="00D22C1F" w:rsidP="0097780D">
      <w:pPr>
        <w:pStyle w:val="Nagwek"/>
        <w:jc w:val="right"/>
        <w:rPr>
          <w:rFonts w:ascii="Open Sans" w:hAnsi="Open Sans" w:cs="Open Sans"/>
          <w:bCs/>
          <w:sz w:val="16"/>
          <w:szCs w:val="16"/>
          <w:u w:val="single"/>
        </w:rPr>
      </w:pPr>
    </w:p>
    <w:p w14:paraId="3720306E"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30D6CBF7"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pn: </w:t>
      </w:r>
      <w:r w:rsidR="00D22C1F" w:rsidRPr="00D22C1F">
        <w:rPr>
          <w:rFonts w:ascii="Open Sans" w:hAnsi="Open Sans" w:cs="Open Sans"/>
          <w:i/>
          <w:iCs/>
          <w:color w:val="000000" w:themeColor="text1"/>
          <w:sz w:val="20"/>
          <w:szCs w:val="20"/>
          <w:u w:val="single"/>
        </w:rPr>
        <w:t>„ Dostawa - zakup nowej kosiarki samojezdnej - samowyładowczej</w:t>
      </w:r>
      <w:r w:rsidR="00787C02" w:rsidRPr="00787C02">
        <w:rPr>
          <w:rFonts w:ascii="Open Sans" w:hAnsi="Open Sans" w:cs="Open Sans"/>
          <w:i/>
          <w:iCs/>
          <w:color w:val="000000" w:themeColor="text1"/>
          <w:sz w:val="20"/>
          <w:szCs w:val="20"/>
          <w:u w:val="single"/>
        </w:rPr>
        <w:t>”</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3A991CBB" w14:textId="77777777" w:rsidR="00F819EE" w:rsidRDefault="00F819EE" w:rsidP="0097780D">
      <w:pPr>
        <w:spacing w:before="120"/>
        <w:ind w:left="4678"/>
        <w:jc w:val="both"/>
        <w:rPr>
          <w:rFonts w:ascii="Arial" w:hAnsi="Arial" w:cs="Arial"/>
          <w:bCs/>
          <w:sz w:val="18"/>
          <w:szCs w:val="18"/>
        </w:rPr>
      </w:pPr>
    </w:p>
    <w:p w14:paraId="7A95F5E0" w14:textId="77777777" w:rsidR="00F819EE" w:rsidRDefault="00F819EE" w:rsidP="0097780D">
      <w:pPr>
        <w:spacing w:before="120"/>
        <w:ind w:left="4678"/>
        <w:jc w:val="both"/>
        <w:rPr>
          <w:rFonts w:ascii="Arial" w:hAnsi="Arial" w:cs="Arial"/>
          <w:bCs/>
          <w:sz w:val="18"/>
          <w:szCs w:val="18"/>
        </w:rPr>
      </w:pPr>
    </w:p>
    <w:p w14:paraId="21C27117" w14:textId="77777777" w:rsidR="00F819EE" w:rsidRDefault="00F819EE" w:rsidP="0097780D">
      <w:pPr>
        <w:spacing w:before="120"/>
        <w:ind w:left="4678"/>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lastRenderedPageBreak/>
        <w:t xml:space="preserve">Załącznik nr 6 do SWZ </w:t>
      </w:r>
    </w:p>
    <w:p w14:paraId="3152D24B"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515A4344"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0ED35BC7" w14:textId="77777777" w:rsidR="00F819EE" w:rsidRPr="00787C02" w:rsidRDefault="00F819EE" w:rsidP="00F819E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LUB CIĄGŁYCH RÓWNIEŻ WYKONYWANYCH DOSTAW</w:t>
      </w:r>
    </w:p>
    <w:p w14:paraId="6341EB52" w14:textId="77777777" w:rsidR="00787C02" w:rsidRDefault="00787C02" w:rsidP="00F819EE">
      <w:pPr>
        <w:tabs>
          <w:tab w:val="left" w:pos="708"/>
        </w:tabs>
        <w:suppressAutoHyphens/>
        <w:jc w:val="center"/>
        <w:rPr>
          <w:rFonts w:ascii="Open Sans" w:hAnsi="Open Sans" w:cs="Open Sans"/>
          <w:i/>
          <w:iCs/>
          <w:color w:val="000000" w:themeColor="text1"/>
          <w:sz w:val="20"/>
          <w:szCs w:val="20"/>
          <w:u w:val="single"/>
        </w:rPr>
      </w:pPr>
    </w:p>
    <w:p w14:paraId="5D748D20" w14:textId="1CE815F3" w:rsidR="00F819EE" w:rsidRPr="00CA377E" w:rsidRDefault="00D22C1F" w:rsidP="00F819EE">
      <w:pPr>
        <w:tabs>
          <w:tab w:val="left" w:pos="708"/>
        </w:tabs>
        <w:suppressAutoHyphens/>
        <w:jc w:val="center"/>
        <w:rPr>
          <w:rFonts w:ascii="Open Sans" w:hAnsi="Open Sans" w:cs="Open Sans"/>
          <w:color w:val="000000" w:themeColor="text1"/>
          <w:lang w:eastAsia="zh-CN"/>
        </w:rPr>
      </w:pPr>
      <w:r w:rsidRPr="00D22C1F">
        <w:rPr>
          <w:rFonts w:ascii="Open Sans" w:hAnsi="Open Sans" w:cs="Open Sans"/>
          <w:i/>
          <w:iCs/>
          <w:color w:val="000000" w:themeColor="text1"/>
          <w:sz w:val="20"/>
          <w:szCs w:val="20"/>
          <w:u w:val="single"/>
        </w:rPr>
        <w:t>„ Dostawa - zakup nowej kosiarki samojezdnej - samowyładowczej</w:t>
      </w:r>
      <w:r w:rsidR="00787C02" w:rsidRPr="00CE634E">
        <w:rPr>
          <w:rFonts w:ascii="Open Sans" w:hAnsi="Open Sans" w:cs="Open Sans"/>
          <w:i/>
          <w:iCs/>
          <w:color w:val="000000" w:themeColor="text1"/>
          <w:sz w:val="20"/>
          <w:szCs w:val="20"/>
          <w:u w:val="single"/>
        </w:rPr>
        <w:t>”.</w:t>
      </w:r>
      <w:r w:rsidR="00787C02" w:rsidRPr="006723BE">
        <w:rPr>
          <w:rFonts w:ascii="Open Sans" w:hAnsi="Open Sans" w:cs="Open Sans"/>
          <w:i/>
          <w:iCs/>
          <w:color w:val="000000" w:themeColor="text1"/>
          <w:sz w:val="20"/>
          <w:szCs w:val="20"/>
          <w:u w:val="single"/>
        </w:rPr>
        <w:t xml:space="preserve">                                                                                                                                        </w:t>
      </w:r>
    </w:p>
    <w:p w14:paraId="301F9BB4" w14:textId="77777777" w:rsidR="00F819EE" w:rsidRPr="00CA377E" w:rsidRDefault="00F819EE" w:rsidP="00F819E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819EE" w:rsidRPr="00CA377E" w14:paraId="64AFFEF3" w14:textId="77777777" w:rsidTr="00717E4B">
        <w:trPr>
          <w:trHeight w:val="1609"/>
        </w:trPr>
        <w:tc>
          <w:tcPr>
            <w:tcW w:w="2440" w:type="dxa"/>
            <w:tcBorders>
              <w:top w:val="single" w:sz="4" w:space="0" w:color="00000A"/>
              <w:left w:val="single" w:sz="4" w:space="0" w:color="00000A"/>
              <w:bottom w:val="single" w:sz="4" w:space="0" w:color="00000A"/>
              <w:right w:val="nil"/>
            </w:tcBorders>
            <w:vAlign w:val="center"/>
          </w:tcPr>
          <w:p w14:paraId="47A516C4" w14:textId="77777777" w:rsidR="00F819EE" w:rsidRPr="00787C02" w:rsidRDefault="00F819EE" w:rsidP="00717E4B">
            <w:pPr>
              <w:snapToGrid w:val="0"/>
              <w:jc w:val="center"/>
              <w:rPr>
                <w:rFonts w:ascii="Open Sans" w:hAnsi="Open Sans" w:cs="Open Sans"/>
                <w:bCs/>
                <w:color w:val="000000" w:themeColor="text1"/>
                <w:sz w:val="18"/>
                <w:szCs w:val="18"/>
                <w:lang w:eastAsia="zh-CN"/>
              </w:rPr>
            </w:pPr>
          </w:p>
          <w:p w14:paraId="236736E5"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t>
            </w:r>
          </w:p>
          <w:p w14:paraId="49B1B2ED"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wykonanej / wykonywanej</w:t>
            </w:r>
          </w:p>
          <w:p w14:paraId="412A0FBB" w14:textId="77777777" w:rsidR="00F819EE" w:rsidRPr="00787C02" w:rsidRDefault="00F819EE" w:rsidP="00717E4B">
            <w:pPr>
              <w:suppressAutoHyphens/>
              <w:rPr>
                <w:rFonts w:ascii="Open Sans" w:hAnsi="Open Sans" w:cs="Open Sans"/>
                <w:bCs/>
                <w:color w:val="000000" w:themeColor="text1"/>
                <w:sz w:val="18"/>
                <w:szCs w:val="18"/>
                <w:lang w:eastAsia="ar-SA"/>
              </w:rPr>
            </w:pPr>
            <w:r w:rsidRPr="00787C02">
              <w:rPr>
                <w:rFonts w:ascii="Open Sans" w:hAnsi="Open Sans" w:cs="Open Sans"/>
                <w:bCs/>
                <w:color w:val="000000" w:themeColor="text1"/>
                <w:sz w:val="18"/>
                <w:szCs w:val="18"/>
                <w:lang w:eastAsia="zh-CN"/>
              </w:rPr>
              <w:t xml:space="preserve">            dostawy</w:t>
            </w:r>
          </w:p>
          <w:p w14:paraId="05AA466A" w14:textId="77777777" w:rsidR="00F819EE" w:rsidRPr="00787C02" w:rsidRDefault="00F819EE" w:rsidP="00717E4B">
            <w:pPr>
              <w:jc w:val="center"/>
              <w:rPr>
                <w:rFonts w:ascii="Open Sans" w:hAnsi="Open Sans" w:cs="Open Sans"/>
                <w:bCs/>
                <w:i/>
                <w:color w:val="000000" w:themeColor="text1"/>
                <w:sz w:val="18"/>
                <w:szCs w:val="18"/>
                <w:lang w:eastAsia="zh-CN"/>
              </w:rPr>
            </w:pPr>
            <w:r w:rsidRPr="00787C02">
              <w:rPr>
                <w:rFonts w:ascii="Open Sans" w:hAnsi="Open Sans" w:cs="Open Sans"/>
                <w:bCs/>
                <w:i/>
                <w:color w:val="000000" w:themeColor="text1"/>
                <w:sz w:val="18"/>
                <w:szCs w:val="18"/>
                <w:lang w:eastAsia="zh-CN"/>
              </w:rPr>
              <w:t xml:space="preserve">(należy szczegółowo </w:t>
            </w:r>
          </w:p>
          <w:p w14:paraId="705BFCF0" w14:textId="77777777" w:rsidR="00F819EE" w:rsidRPr="00787C02" w:rsidRDefault="00F819EE" w:rsidP="00717E4B">
            <w:pPr>
              <w:jc w:val="center"/>
              <w:rPr>
                <w:rFonts w:ascii="Open Sans" w:hAnsi="Open Sans" w:cs="Open Sans"/>
                <w:bCs/>
                <w:color w:val="000000" w:themeColor="text1"/>
                <w:sz w:val="18"/>
                <w:szCs w:val="18"/>
                <w:lang w:eastAsia="zh-CN"/>
              </w:rPr>
            </w:pPr>
            <w:r w:rsidRPr="00787C02">
              <w:rPr>
                <w:rFonts w:ascii="Open Sans" w:hAnsi="Open Sans" w:cs="Open Sans"/>
                <w:bCs/>
                <w:i/>
                <w:color w:val="000000" w:themeColor="text1"/>
                <w:sz w:val="18"/>
                <w:szCs w:val="18"/>
                <w:lang w:eastAsia="zh-CN"/>
              </w:rPr>
              <w:t xml:space="preserve">rozpisać posiadane </w:t>
            </w:r>
            <w:r w:rsidRPr="00787C02">
              <w:rPr>
                <w:rFonts w:ascii="Open Sans" w:hAnsi="Open Sans" w:cs="Open Sans"/>
                <w:bCs/>
                <w:i/>
                <w:color w:val="000000" w:themeColor="text1"/>
                <w:sz w:val="18"/>
                <w:szCs w:val="18"/>
                <w:lang w:eastAsia="zh-CN"/>
              </w:rPr>
              <w:br/>
              <w:t>i spełniające warunek Zamawiającego doświadczenie)</w:t>
            </w:r>
          </w:p>
          <w:p w14:paraId="14037861" w14:textId="77777777" w:rsidR="00F819EE" w:rsidRPr="00787C02" w:rsidRDefault="00F819EE" w:rsidP="00717E4B">
            <w:pPr>
              <w:suppressAutoHyphens/>
              <w:rPr>
                <w:rFonts w:ascii="Open Sans" w:hAnsi="Open Sans" w:cs="Open Sans"/>
                <w:bCs/>
                <w:color w:val="000000" w:themeColor="text1"/>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642DD802"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Wartość </w:t>
            </w:r>
          </w:p>
          <w:p w14:paraId="4DC4BC76" w14:textId="77777777" w:rsidR="00F819EE" w:rsidRPr="00787C02" w:rsidRDefault="00F819EE" w:rsidP="00717E4B">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xml:space="preserve">/ wykonywanej </w:t>
            </w:r>
          </w:p>
          <w:p w14:paraId="0F7EDEC0" w14:textId="77777777" w:rsidR="00F819EE" w:rsidRPr="00787C02" w:rsidRDefault="00F819EE" w:rsidP="00717E4B">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dostawy</w:t>
            </w:r>
          </w:p>
          <w:p w14:paraId="11342419" w14:textId="77777777" w:rsidR="00F819EE" w:rsidRPr="00787C02" w:rsidRDefault="00F819EE" w:rsidP="00717E4B">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(brutto )</w:t>
            </w:r>
          </w:p>
        </w:tc>
        <w:tc>
          <w:tcPr>
            <w:tcW w:w="1800" w:type="dxa"/>
            <w:tcBorders>
              <w:top w:val="single" w:sz="4" w:space="0" w:color="00000A"/>
              <w:left w:val="single" w:sz="4" w:space="0" w:color="00000A"/>
              <w:bottom w:val="single" w:sz="4" w:space="0" w:color="00000A"/>
              <w:right w:val="nil"/>
            </w:tcBorders>
            <w:vAlign w:val="center"/>
          </w:tcPr>
          <w:p w14:paraId="18599D57" w14:textId="77777777" w:rsidR="00F819EE" w:rsidRPr="00787C02" w:rsidRDefault="00F819EE" w:rsidP="00717E4B">
            <w:pPr>
              <w:tabs>
                <w:tab w:val="left" w:pos="708"/>
              </w:tabs>
              <w:snapToGrid w:val="0"/>
              <w:jc w:val="center"/>
              <w:rPr>
                <w:rFonts w:ascii="Open Sans" w:hAnsi="Open Sans" w:cs="Open Sans"/>
                <w:bCs/>
                <w:i/>
                <w:iCs/>
                <w:color w:val="000000" w:themeColor="text1"/>
                <w:sz w:val="18"/>
                <w:szCs w:val="18"/>
                <w:lang w:eastAsia="en-US"/>
              </w:rPr>
            </w:pPr>
          </w:p>
          <w:p w14:paraId="40F5C64E" w14:textId="77777777" w:rsidR="00F819EE" w:rsidRPr="00787C02" w:rsidRDefault="00F819EE" w:rsidP="00717E4B">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 xml:space="preserve">wykonania </w:t>
            </w:r>
          </w:p>
          <w:p w14:paraId="2FC584EA" w14:textId="77777777" w:rsidR="00F819EE" w:rsidRPr="00787C02" w:rsidRDefault="00F819EE" w:rsidP="00717E4B">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788D209" w14:textId="77777777" w:rsidR="00F819EE" w:rsidRPr="00787C02" w:rsidRDefault="00F819EE" w:rsidP="00717E4B">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6EE729E" w14:textId="77777777" w:rsidR="00F819EE" w:rsidRPr="00787C02" w:rsidRDefault="00F819EE" w:rsidP="00717E4B">
            <w:pPr>
              <w:tabs>
                <w:tab w:val="left" w:pos="708"/>
              </w:tabs>
              <w:suppressAutoHyphen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dostawa została wykonana </w:t>
            </w:r>
            <w:r w:rsidRPr="00787C02">
              <w:rPr>
                <w:rFonts w:ascii="Open Sans" w:hAnsi="Open Sans" w:cs="Open Sans"/>
                <w:bCs/>
                <w:iCs/>
                <w:color w:val="000000" w:themeColor="text1"/>
                <w:sz w:val="18"/>
                <w:szCs w:val="18"/>
                <w:lang w:eastAsia="zh-CN"/>
              </w:rPr>
              <w:br/>
              <w:t>/ jest wykonywana</w:t>
            </w:r>
          </w:p>
        </w:tc>
      </w:tr>
      <w:tr w:rsidR="00F819EE" w:rsidRPr="00CA377E" w14:paraId="7963B688"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4ED48B2A" w14:textId="77777777" w:rsidR="00F819EE" w:rsidRPr="00CA377E" w:rsidRDefault="00F819EE" w:rsidP="00717E4B">
            <w:pPr>
              <w:tabs>
                <w:tab w:val="left" w:pos="708"/>
              </w:tabs>
              <w:suppressAutoHyphens/>
              <w:snapToGrid w:val="0"/>
              <w:rPr>
                <w:rFonts w:ascii="Open Sans" w:hAnsi="Open Sans" w:cs="Open Sans"/>
                <w:color w:val="000000" w:themeColor="text1"/>
                <w:sz w:val="22"/>
                <w:szCs w:val="22"/>
                <w:lang w:eastAsia="zh-CN"/>
              </w:rPr>
            </w:pPr>
          </w:p>
          <w:p w14:paraId="4AEBB0C2"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4EE8EEE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921C106"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7EF6EA5A" w14:textId="77777777" w:rsidR="00F819EE" w:rsidRPr="00CA377E" w:rsidRDefault="00F819EE" w:rsidP="00717E4B">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61898377"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p w14:paraId="73856756"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p w14:paraId="5FDA38CA" w14:textId="77777777" w:rsidR="00F819EE" w:rsidRPr="00CA377E" w:rsidRDefault="00F819EE" w:rsidP="00717E4B">
            <w:pPr>
              <w:tabs>
                <w:tab w:val="left" w:pos="708"/>
              </w:tabs>
              <w:suppressAutoHyphens/>
              <w:rPr>
                <w:rFonts w:ascii="Open Sans" w:hAnsi="Open Sans" w:cs="Open Sans"/>
                <w:color w:val="000000" w:themeColor="text1"/>
                <w:lang w:eastAsia="zh-CN"/>
              </w:rPr>
            </w:pPr>
          </w:p>
          <w:p w14:paraId="51C1829C" w14:textId="77777777" w:rsidR="00F819EE" w:rsidRPr="00CA377E" w:rsidRDefault="00F819EE" w:rsidP="00717E4B">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07BC83BA"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6161D02"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r w:rsidR="00F819EE" w:rsidRPr="00CA377E" w14:paraId="51D50F53" w14:textId="77777777" w:rsidTr="00717E4B">
        <w:trPr>
          <w:trHeight w:val="996"/>
        </w:trPr>
        <w:tc>
          <w:tcPr>
            <w:tcW w:w="2440" w:type="dxa"/>
            <w:tcBorders>
              <w:top w:val="single" w:sz="4" w:space="0" w:color="00000A"/>
              <w:left w:val="single" w:sz="4" w:space="0" w:color="00000A"/>
              <w:bottom w:val="single" w:sz="4" w:space="0" w:color="00000A"/>
              <w:right w:val="nil"/>
            </w:tcBorders>
          </w:tcPr>
          <w:p w14:paraId="015E7353"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1F7AEAA1"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4987F429"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7FAEADC8"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p w14:paraId="6B4DD4EE" w14:textId="77777777" w:rsidR="00F819EE" w:rsidRPr="00CA377E" w:rsidRDefault="00F819EE" w:rsidP="00717E4B">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3EE914B"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1248B434"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A35ED16" w14:textId="77777777" w:rsidR="00F819EE" w:rsidRPr="00CA377E" w:rsidRDefault="00F819EE" w:rsidP="00717E4B">
            <w:pPr>
              <w:tabs>
                <w:tab w:val="left" w:pos="708"/>
              </w:tabs>
              <w:suppressAutoHyphens/>
              <w:snapToGrid w:val="0"/>
              <w:jc w:val="center"/>
              <w:rPr>
                <w:rFonts w:ascii="Open Sans" w:hAnsi="Open Sans" w:cs="Open Sans"/>
                <w:color w:val="000000" w:themeColor="text1"/>
                <w:lang w:eastAsia="zh-CN"/>
              </w:rPr>
            </w:pPr>
          </w:p>
        </w:tc>
      </w:tr>
    </w:tbl>
    <w:p w14:paraId="75B9D50A" w14:textId="77777777" w:rsidR="00F819EE" w:rsidRPr="00CA377E" w:rsidRDefault="00F819EE" w:rsidP="00F819EE">
      <w:pPr>
        <w:widowControl w:val="0"/>
        <w:tabs>
          <w:tab w:val="left" w:pos="708"/>
        </w:tabs>
        <w:suppressAutoHyphens/>
        <w:rPr>
          <w:rFonts w:ascii="Open Sans" w:hAnsi="Open Sans" w:cs="Open Sans"/>
          <w:b/>
          <w:color w:val="000000" w:themeColor="text1"/>
          <w:sz w:val="22"/>
          <w:szCs w:val="22"/>
          <w:u w:val="single"/>
          <w:lang w:eastAsia="zh-CN"/>
        </w:rPr>
      </w:pPr>
    </w:p>
    <w:p w14:paraId="752EE46E" w14:textId="77777777"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22FE3D49" w14:textId="356BF25E"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0E81CD99" w14:textId="77777777" w:rsidR="00F819EE" w:rsidRPr="00CA377E" w:rsidRDefault="00F819EE" w:rsidP="00F819EE">
      <w:pPr>
        <w:widowControl w:val="0"/>
        <w:tabs>
          <w:tab w:val="left" w:pos="708"/>
        </w:tabs>
        <w:suppressAutoHyphens/>
        <w:rPr>
          <w:rFonts w:ascii="Open Sans" w:hAnsi="Open Sans" w:cs="Open Sans"/>
          <w:b/>
          <w:bCs/>
          <w:i/>
          <w:color w:val="000000" w:themeColor="text1"/>
          <w:lang w:eastAsia="zh-CN"/>
        </w:rPr>
      </w:pPr>
    </w:p>
    <w:p w14:paraId="24B92347" w14:textId="77777777" w:rsidR="00F819EE" w:rsidRPr="00CA377E" w:rsidRDefault="00F819EE" w:rsidP="00F819EE">
      <w:pPr>
        <w:tabs>
          <w:tab w:val="left" w:pos="708"/>
        </w:tabs>
        <w:suppressAutoHyphens/>
        <w:rPr>
          <w:rFonts w:ascii="Open Sans" w:hAnsi="Open Sans" w:cs="Open Sans"/>
          <w:i/>
          <w:iCs/>
          <w:color w:val="000000" w:themeColor="text1"/>
          <w:lang w:eastAsia="zh-CN"/>
        </w:rPr>
      </w:pPr>
    </w:p>
    <w:p w14:paraId="6D8B1336"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0B6CF635"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6E2DFED5" w14:textId="77777777" w:rsidR="00F819EE" w:rsidRDefault="00F819EE" w:rsidP="00F819EE">
      <w:pPr>
        <w:spacing w:before="120"/>
        <w:ind w:left="4678"/>
        <w:jc w:val="both"/>
        <w:rPr>
          <w:rFonts w:ascii="Arial" w:hAnsi="Arial" w:cs="Arial"/>
          <w:bCs/>
          <w:sz w:val="18"/>
          <w:szCs w:val="18"/>
        </w:rPr>
      </w:pPr>
    </w:p>
    <w:p w14:paraId="75961854" w14:textId="77777777" w:rsidR="00F819EE" w:rsidRDefault="00F819EE" w:rsidP="00F819EE">
      <w:pPr>
        <w:spacing w:before="120"/>
        <w:jc w:val="both"/>
        <w:rPr>
          <w:rFonts w:ascii="Arial" w:hAnsi="Arial" w:cs="Arial"/>
          <w:bCs/>
          <w:sz w:val="18"/>
          <w:szCs w:val="18"/>
        </w:rPr>
      </w:pPr>
    </w:p>
    <w:p w14:paraId="33DC4456" w14:textId="77777777" w:rsidR="00F819EE" w:rsidRDefault="00F819EE" w:rsidP="0097780D">
      <w:pPr>
        <w:spacing w:before="120"/>
        <w:ind w:left="4678"/>
        <w:jc w:val="both"/>
        <w:rPr>
          <w:rFonts w:ascii="Arial" w:hAnsi="Arial" w:cs="Arial"/>
          <w:bCs/>
          <w:sz w:val="18"/>
          <w:szCs w:val="18"/>
        </w:rPr>
      </w:pPr>
    </w:p>
    <w:p w14:paraId="56133604" w14:textId="77777777" w:rsidR="00F819EE" w:rsidRDefault="00F819EE"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623CEC">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A0C5" w14:textId="77777777" w:rsidR="00623CEC" w:rsidRDefault="00623CEC" w:rsidP="00377D59">
      <w:r>
        <w:separator/>
      </w:r>
    </w:p>
  </w:endnote>
  <w:endnote w:type="continuationSeparator" w:id="0">
    <w:p w14:paraId="3E66C9BC" w14:textId="77777777" w:rsidR="00623CEC" w:rsidRDefault="00623CE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3DE6" w14:textId="77777777" w:rsidR="00623CEC" w:rsidRDefault="00623CEC" w:rsidP="00377D59">
      <w:r>
        <w:separator/>
      </w:r>
    </w:p>
  </w:footnote>
  <w:footnote w:type="continuationSeparator" w:id="0">
    <w:p w14:paraId="60BEF7AD" w14:textId="77777777" w:rsidR="00623CEC" w:rsidRDefault="00623CEC"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2C1F"/>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151</cp:revision>
  <cp:lastPrinted>2023-11-27T07:13:00Z</cp:lastPrinted>
  <dcterms:created xsi:type="dcterms:W3CDTF">2022-12-12T17:44:00Z</dcterms:created>
  <dcterms:modified xsi:type="dcterms:W3CDTF">2024-03-11T12:19:00Z</dcterms:modified>
</cp:coreProperties>
</file>