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64DBC175" w:rsidR="00E71D57" w:rsidRPr="00456641" w:rsidRDefault="00AE0C96" w:rsidP="002F46A2">
      <w:pPr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2F46A2" w:rsidRPr="006127C9">
        <w:rPr>
          <w:rFonts w:ascii="Arial" w:hAnsi="Arial" w:cs="Arial"/>
          <w:b/>
          <w:i/>
          <w:iCs/>
          <w:sz w:val="24"/>
          <w:szCs w:val="24"/>
        </w:rPr>
        <w:t>Rozbudowa, przebudowa i zmiana sposobu użytkowania lokalu usługowego na pracownię audiowizualną wraz z podjazdem dla osób niepełnosprawnych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C1E6FE1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3265C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63265C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57ECE4A3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1B50EA"/>
    <w:rsid w:val="00205097"/>
    <w:rsid w:val="0022100D"/>
    <w:rsid w:val="00234039"/>
    <w:rsid w:val="002F46A2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E6530"/>
    <w:rsid w:val="008F30C5"/>
    <w:rsid w:val="00911EC5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446AC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41</cp:revision>
  <cp:lastPrinted>2024-03-07T11:10:00Z</cp:lastPrinted>
  <dcterms:created xsi:type="dcterms:W3CDTF">2021-01-07T10:43:00Z</dcterms:created>
  <dcterms:modified xsi:type="dcterms:W3CDTF">2024-03-07T11:10:00Z</dcterms:modified>
</cp:coreProperties>
</file>